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27509" w14:textId="77777777" w:rsidR="00816E64" w:rsidRPr="00816E64" w:rsidRDefault="00816E64">
      <w:pPr>
        <w:rPr>
          <w:sz w:val="10"/>
          <w:szCs w:val="10"/>
        </w:rPr>
      </w:pPr>
    </w:p>
    <w:tbl>
      <w:tblPr>
        <w:tblStyle w:val="TableGrid"/>
        <w:tblW w:w="10485" w:type="dxa"/>
        <w:tblLook w:val="04A0" w:firstRow="1" w:lastRow="0" w:firstColumn="1" w:lastColumn="0" w:noHBand="0" w:noVBand="1"/>
      </w:tblPr>
      <w:tblGrid>
        <w:gridCol w:w="10485"/>
      </w:tblGrid>
      <w:tr w:rsidR="00816E64" w:rsidRPr="00D83D07" w14:paraId="7195B1BE" w14:textId="77777777" w:rsidTr="00B0443E">
        <w:tc>
          <w:tcPr>
            <w:tcW w:w="10485" w:type="dxa"/>
            <w:shd w:val="clear" w:color="auto" w:fill="70AD47" w:themeFill="accent6"/>
          </w:tcPr>
          <w:p w14:paraId="771BACC2" w14:textId="77777777" w:rsidR="00816E64" w:rsidRPr="00D83D07" w:rsidRDefault="00816E64" w:rsidP="00454974">
            <w:pPr>
              <w:rPr>
                <w:rFonts w:asciiTheme="minorHAnsi" w:hAnsiTheme="minorHAnsi" w:cs="Arial"/>
                <w:b/>
                <w:bCs/>
                <w:color w:val="FFFFFF" w:themeColor="background1"/>
                <w:sz w:val="10"/>
                <w:szCs w:val="10"/>
              </w:rPr>
            </w:pPr>
          </w:p>
          <w:p w14:paraId="085D437B" w14:textId="7D9FB84F" w:rsidR="000B761D" w:rsidRPr="00D83D07" w:rsidRDefault="000B761D" w:rsidP="00816E64">
            <w:pPr>
              <w:jc w:val="center"/>
              <w:rPr>
                <w:rFonts w:asciiTheme="minorHAnsi" w:hAnsiTheme="minorHAnsi" w:cs="Arial"/>
                <w:b/>
                <w:bCs/>
                <w:color w:val="FFFFFF" w:themeColor="background1"/>
                <w:sz w:val="32"/>
                <w:szCs w:val="32"/>
              </w:rPr>
            </w:pPr>
            <w:r w:rsidRPr="00D83D07">
              <w:rPr>
                <w:rFonts w:asciiTheme="minorHAnsi" w:hAnsiTheme="minorHAnsi" w:cs="Arial"/>
                <w:b/>
                <w:bCs/>
                <w:color w:val="FFFFFF" w:themeColor="background1"/>
                <w:sz w:val="32"/>
                <w:szCs w:val="32"/>
              </w:rPr>
              <w:t>How to:</w:t>
            </w:r>
            <w:r w:rsidR="00816E64" w:rsidRPr="00D83D07">
              <w:rPr>
                <w:rFonts w:asciiTheme="minorHAnsi" w:hAnsiTheme="minorHAnsi" w:cs="Arial"/>
                <w:b/>
                <w:bCs/>
                <w:color w:val="FFFFFF" w:themeColor="background1"/>
                <w:sz w:val="32"/>
                <w:szCs w:val="32"/>
              </w:rPr>
              <w:t xml:space="preserve"> </w:t>
            </w:r>
            <w:r w:rsidRPr="00D83D07">
              <w:rPr>
                <w:rFonts w:asciiTheme="minorHAnsi" w:hAnsiTheme="minorHAnsi" w:cs="Arial"/>
                <w:b/>
                <w:bCs/>
                <w:color w:val="FFFFFF" w:themeColor="background1"/>
                <w:sz w:val="32"/>
                <w:szCs w:val="32"/>
              </w:rPr>
              <w:t xml:space="preserve">Assess mental Capacity to </w:t>
            </w:r>
            <w:r w:rsidR="005E11A5">
              <w:rPr>
                <w:rFonts w:asciiTheme="minorHAnsi" w:hAnsiTheme="minorHAnsi" w:cs="Arial"/>
                <w:b/>
                <w:bCs/>
                <w:color w:val="FFFFFF" w:themeColor="background1"/>
                <w:sz w:val="32"/>
                <w:szCs w:val="32"/>
              </w:rPr>
              <w:t>manage financial affairs</w:t>
            </w:r>
          </w:p>
          <w:p w14:paraId="3E58D950" w14:textId="2542A268" w:rsidR="00816E64" w:rsidRPr="00D83D07" w:rsidRDefault="00816E64" w:rsidP="00454974">
            <w:pPr>
              <w:rPr>
                <w:rFonts w:asciiTheme="minorHAnsi" w:hAnsiTheme="minorHAnsi"/>
                <w:color w:val="FFFFFF" w:themeColor="background1"/>
                <w:sz w:val="10"/>
                <w:szCs w:val="10"/>
              </w:rPr>
            </w:pPr>
          </w:p>
        </w:tc>
      </w:tr>
      <w:tr w:rsidR="000B761D" w:rsidRPr="00816E64" w14:paraId="620F53B7" w14:textId="77777777" w:rsidTr="00B0443E">
        <w:tc>
          <w:tcPr>
            <w:tcW w:w="10485" w:type="dxa"/>
            <w:tcBorders>
              <w:bottom w:val="single" w:sz="4" w:space="0" w:color="auto"/>
            </w:tcBorders>
          </w:tcPr>
          <w:p w14:paraId="161FF1D4" w14:textId="77777777" w:rsidR="002D35BB" w:rsidRPr="002D35BB" w:rsidRDefault="002D35BB" w:rsidP="00B0443E">
            <w:pPr>
              <w:rPr>
                <w:rFonts w:asciiTheme="minorHAnsi" w:hAnsiTheme="minorHAnsi" w:cstheme="minorHAnsi"/>
                <w:sz w:val="10"/>
                <w:szCs w:val="10"/>
              </w:rPr>
            </w:pPr>
          </w:p>
          <w:p w14:paraId="7B8A77F9" w14:textId="7939231F" w:rsidR="00B0443E" w:rsidRDefault="00B0443E" w:rsidP="00B0443E">
            <w:pPr>
              <w:rPr>
                <w:rFonts w:asciiTheme="minorHAnsi" w:hAnsiTheme="minorHAnsi" w:cstheme="minorHAnsi"/>
                <w:sz w:val="22"/>
                <w:szCs w:val="22"/>
              </w:rPr>
            </w:pPr>
            <w:r w:rsidRPr="003F6453">
              <w:rPr>
                <w:rFonts w:asciiTheme="minorHAnsi" w:hAnsiTheme="minorHAnsi" w:cstheme="minorHAnsi"/>
                <w:sz w:val="22"/>
                <w:szCs w:val="22"/>
              </w:rPr>
              <w:t xml:space="preserve">Capacity to manage financial affairs should be assessed whenever there are concerns about </w:t>
            </w:r>
            <w:proofErr w:type="gramStart"/>
            <w:r w:rsidRPr="003F6453">
              <w:rPr>
                <w:rFonts w:asciiTheme="minorHAnsi" w:hAnsiTheme="minorHAnsi" w:cstheme="minorHAnsi"/>
                <w:sz w:val="22"/>
                <w:szCs w:val="22"/>
              </w:rPr>
              <w:t>a</w:t>
            </w:r>
            <w:proofErr w:type="gramEnd"/>
            <w:r w:rsidRPr="003F6453">
              <w:rPr>
                <w:rFonts w:asciiTheme="minorHAnsi" w:hAnsiTheme="minorHAnsi" w:cstheme="minorHAnsi"/>
                <w:sz w:val="22"/>
                <w:szCs w:val="22"/>
              </w:rPr>
              <w:t xml:space="preserve"> adult’s ability to manage their finances or meet their financial obligations, or when there are concerns about </w:t>
            </w:r>
            <w:proofErr w:type="spellStart"/>
            <w:r w:rsidRPr="003F6453">
              <w:rPr>
                <w:rFonts w:asciiTheme="minorHAnsi" w:hAnsiTheme="minorHAnsi" w:cstheme="minorHAnsi"/>
                <w:sz w:val="22"/>
                <w:szCs w:val="22"/>
              </w:rPr>
              <w:t>a</w:t>
            </w:r>
            <w:proofErr w:type="spellEnd"/>
            <w:r w:rsidRPr="003F6453">
              <w:rPr>
                <w:rFonts w:asciiTheme="minorHAnsi" w:hAnsiTheme="minorHAnsi" w:cstheme="minorHAnsi"/>
                <w:sz w:val="22"/>
                <w:szCs w:val="22"/>
              </w:rPr>
              <w:t xml:space="preserve"> adult’s ability to protect themselves from financial abuse. </w:t>
            </w:r>
          </w:p>
          <w:p w14:paraId="46C646D7" w14:textId="77777777" w:rsidR="002D35BB" w:rsidRPr="002D35BB" w:rsidRDefault="002D35BB" w:rsidP="00B0443E">
            <w:pPr>
              <w:rPr>
                <w:rFonts w:asciiTheme="minorHAnsi" w:hAnsiTheme="minorHAnsi" w:cstheme="minorHAnsi"/>
                <w:sz w:val="16"/>
                <w:szCs w:val="16"/>
              </w:rPr>
            </w:pPr>
          </w:p>
          <w:p w14:paraId="0A297496" w14:textId="6F20F712" w:rsidR="00B0443E" w:rsidRPr="00B0443E" w:rsidRDefault="00B0443E" w:rsidP="00B0443E">
            <w:pPr>
              <w:rPr>
                <w:rFonts w:asciiTheme="minorHAnsi" w:hAnsiTheme="minorHAnsi" w:cstheme="minorHAnsi"/>
                <w:sz w:val="22"/>
                <w:szCs w:val="22"/>
              </w:rPr>
            </w:pPr>
            <w:r w:rsidRPr="003F6453">
              <w:rPr>
                <w:rFonts w:asciiTheme="minorHAnsi" w:hAnsiTheme="minorHAnsi" w:cstheme="minorHAnsi"/>
                <w:sz w:val="22"/>
                <w:szCs w:val="22"/>
              </w:rPr>
              <w:t>Under section 2 of the MCA, capacity is decision specific. It therefore follows that a person may lack capacity to manage particular aspects of their financial affairs but not others. For example, a person with dementia may have capacity to manage</w:t>
            </w:r>
            <w:r w:rsidRPr="00B0443E">
              <w:rPr>
                <w:rFonts w:asciiTheme="minorHAnsi" w:hAnsiTheme="minorHAnsi" w:cstheme="minorHAnsi"/>
                <w:sz w:val="22"/>
                <w:szCs w:val="22"/>
              </w:rPr>
              <w:t xml:space="preserve"> their day-</w:t>
            </w:r>
            <w:r w:rsidRPr="00D43AB7">
              <w:rPr>
                <w:rFonts w:asciiTheme="minorHAnsi" w:hAnsiTheme="minorHAnsi" w:cstheme="minorHAnsi"/>
                <w:sz w:val="22"/>
                <w:szCs w:val="22"/>
              </w:rPr>
              <w:t xml:space="preserve">to-day financial affairs but lack capacity to make decisions about their savings and investments. Guidance produced by </w:t>
            </w:r>
            <w:hyperlink r:id="rId7" w:history="1">
              <w:r w:rsidRPr="00D43AB7">
                <w:rPr>
                  <w:rStyle w:val="Hyperlink"/>
                  <w:rFonts w:asciiTheme="minorHAnsi" w:hAnsiTheme="minorHAnsi" w:cstheme="minorHAnsi"/>
                  <w:i/>
                  <w:iCs/>
                  <w:sz w:val="22"/>
                  <w:szCs w:val="22"/>
                </w:rPr>
                <w:t>Empowerment Matte</w:t>
              </w:r>
              <w:r w:rsidR="00D43AB7" w:rsidRPr="00D43AB7">
                <w:rPr>
                  <w:rStyle w:val="Hyperlink"/>
                  <w:rFonts w:asciiTheme="minorHAnsi" w:hAnsiTheme="minorHAnsi" w:cstheme="minorHAnsi"/>
                  <w:i/>
                  <w:iCs/>
                  <w:sz w:val="22"/>
                  <w:szCs w:val="22"/>
                </w:rPr>
                <w:t>rs</w:t>
              </w:r>
            </w:hyperlink>
            <w:r w:rsidRPr="00D43AB7">
              <w:rPr>
                <w:rFonts w:asciiTheme="minorHAnsi" w:hAnsiTheme="minorHAnsi" w:cstheme="minorHAnsi"/>
                <w:sz w:val="22"/>
                <w:szCs w:val="22"/>
              </w:rPr>
              <w:t xml:space="preserve"> recommends that professionals break down the overall management of financial affairs into the component parts. For example</w:t>
            </w:r>
            <w:r w:rsidRPr="00B0443E">
              <w:rPr>
                <w:rFonts w:asciiTheme="minorHAnsi" w:hAnsiTheme="minorHAnsi" w:cstheme="minorHAnsi"/>
                <w:sz w:val="22"/>
                <w:szCs w:val="22"/>
              </w:rPr>
              <w:t>, does the adult have capacity to:</w:t>
            </w:r>
          </w:p>
          <w:p w14:paraId="736A4BF9" w14:textId="77777777" w:rsidR="00B0443E" w:rsidRPr="002D35BB" w:rsidRDefault="00B0443E" w:rsidP="00B0443E">
            <w:pPr>
              <w:rPr>
                <w:rFonts w:asciiTheme="minorHAnsi" w:hAnsiTheme="minorHAnsi" w:cstheme="minorHAnsi"/>
                <w:sz w:val="10"/>
                <w:szCs w:val="10"/>
              </w:rPr>
            </w:pPr>
          </w:p>
          <w:p w14:paraId="4FF1731C" w14:textId="7EC4BE5C" w:rsidR="00B0443E" w:rsidRPr="00B0443E" w:rsidRDefault="00B0443E" w:rsidP="00B0443E">
            <w:pPr>
              <w:pStyle w:val="ListParagraph"/>
              <w:numPr>
                <w:ilvl w:val="0"/>
                <w:numId w:val="13"/>
              </w:numPr>
              <w:rPr>
                <w:rFonts w:asciiTheme="minorHAnsi" w:hAnsiTheme="minorHAnsi" w:cstheme="minorHAnsi"/>
                <w:sz w:val="22"/>
                <w:szCs w:val="22"/>
              </w:rPr>
            </w:pPr>
            <w:r w:rsidRPr="00B0443E">
              <w:rPr>
                <w:rFonts w:asciiTheme="minorHAnsi" w:hAnsiTheme="minorHAnsi" w:cstheme="minorHAnsi"/>
                <w:sz w:val="22"/>
                <w:szCs w:val="22"/>
              </w:rPr>
              <w:t>Manage their benefits</w:t>
            </w:r>
          </w:p>
          <w:p w14:paraId="7CD9E97C" w14:textId="5CC7C2A9" w:rsidR="00B0443E" w:rsidRPr="00B0443E" w:rsidRDefault="00B0443E" w:rsidP="00B0443E">
            <w:pPr>
              <w:pStyle w:val="ListParagraph"/>
              <w:numPr>
                <w:ilvl w:val="0"/>
                <w:numId w:val="13"/>
              </w:numPr>
              <w:rPr>
                <w:rFonts w:asciiTheme="minorHAnsi" w:hAnsiTheme="minorHAnsi" w:cstheme="minorHAnsi"/>
                <w:sz w:val="22"/>
                <w:szCs w:val="22"/>
              </w:rPr>
            </w:pPr>
            <w:r w:rsidRPr="00B0443E">
              <w:rPr>
                <w:rFonts w:asciiTheme="minorHAnsi" w:hAnsiTheme="minorHAnsi" w:cstheme="minorHAnsi"/>
                <w:sz w:val="22"/>
                <w:szCs w:val="22"/>
              </w:rPr>
              <w:t>Pay their bills</w:t>
            </w:r>
          </w:p>
          <w:p w14:paraId="4EDF44F7" w14:textId="7683B551" w:rsidR="00B0443E" w:rsidRPr="00B0443E" w:rsidRDefault="00B0443E" w:rsidP="00B0443E">
            <w:pPr>
              <w:pStyle w:val="ListParagraph"/>
              <w:numPr>
                <w:ilvl w:val="0"/>
                <w:numId w:val="13"/>
              </w:numPr>
              <w:rPr>
                <w:rFonts w:asciiTheme="minorHAnsi" w:hAnsiTheme="minorHAnsi" w:cstheme="minorHAnsi"/>
                <w:sz w:val="22"/>
                <w:szCs w:val="22"/>
              </w:rPr>
            </w:pPr>
            <w:r w:rsidRPr="00B0443E">
              <w:rPr>
                <w:rFonts w:asciiTheme="minorHAnsi" w:hAnsiTheme="minorHAnsi" w:cstheme="minorHAnsi"/>
                <w:sz w:val="22"/>
                <w:szCs w:val="22"/>
              </w:rPr>
              <w:t>Manage their personal allowance</w:t>
            </w:r>
          </w:p>
          <w:p w14:paraId="66658893" w14:textId="35CFE228" w:rsidR="00B0443E" w:rsidRPr="00B0443E" w:rsidRDefault="00B0443E" w:rsidP="00B0443E">
            <w:pPr>
              <w:pStyle w:val="ListParagraph"/>
              <w:numPr>
                <w:ilvl w:val="0"/>
                <w:numId w:val="13"/>
              </w:numPr>
              <w:rPr>
                <w:rFonts w:asciiTheme="minorHAnsi" w:hAnsiTheme="minorHAnsi" w:cstheme="minorHAnsi"/>
                <w:sz w:val="22"/>
                <w:szCs w:val="22"/>
              </w:rPr>
            </w:pPr>
            <w:r w:rsidRPr="00B0443E">
              <w:rPr>
                <w:rFonts w:asciiTheme="minorHAnsi" w:hAnsiTheme="minorHAnsi" w:cstheme="minorHAnsi"/>
                <w:sz w:val="22"/>
                <w:szCs w:val="22"/>
              </w:rPr>
              <w:t>Manage savings and investments</w:t>
            </w:r>
          </w:p>
          <w:p w14:paraId="60356F3A" w14:textId="77777777" w:rsidR="00B0443E" w:rsidRPr="002D35BB" w:rsidRDefault="00B0443E" w:rsidP="00B0443E">
            <w:pPr>
              <w:rPr>
                <w:rFonts w:asciiTheme="minorHAnsi" w:hAnsiTheme="minorHAnsi" w:cstheme="minorHAnsi"/>
                <w:sz w:val="10"/>
                <w:szCs w:val="10"/>
              </w:rPr>
            </w:pPr>
          </w:p>
          <w:p w14:paraId="16D0C481" w14:textId="6B9D65E2" w:rsidR="00816E64" w:rsidRPr="00B0443E" w:rsidRDefault="00B0443E" w:rsidP="00B0443E">
            <w:pPr>
              <w:spacing w:after="120"/>
              <w:rPr>
                <w:rFonts w:asciiTheme="minorHAnsi" w:hAnsiTheme="minorHAnsi" w:cstheme="minorHAnsi"/>
                <w:sz w:val="22"/>
                <w:szCs w:val="22"/>
              </w:rPr>
            </w:pPr>
            <w:r w:rsidRPr="00B0443E">
              <w:rPr>
                <w:rFonts w:asciiTheme="minorHAnsi" w:hAnsiTheme="minorHAnsi" w:cstheme="minorHAnsi"/>
                <w:sz w:val="22"/>
                <w:szCs w:val="22"/>
              </w:rPr>
              <w:t xml:space="preserve">In addition, there may be occasions </w:t>
            </w:r>
            <w:r w:rsidR="002D35BB">
              <w:rPr>
                <w:rFonts w:asciiTheme="minorHAnsi" w:hAnsiTheme="minorHAnsi" w:cstheme="minorHAnsi"/>
                <w:sz w:val="22"/>
                <w:szCs w:val="22"/>
              </w:rPr>
              <w:t xml:space="preserve">when </w:t>
            </w:r>
            <w:proofErr w:type="spellStart"/>
            <w:proofErr w:type="gramStart"/>
            <w:r w:rsidR="002D35BB">
              <w:rPr>
                <w:rFonts w:asciiTheme="minorHAnsi" w:hAnsiTheme="minorHAnsi" w:cstheme="minorHAnsi"/>
                <w:sz w:val="22"/>
                <w:szCs w:val="22"/>
              </w:rPr>
              <w:t>a</w:t>
            </w:r>
            <w:proofErr w:type="spellEnd"/>
            <w:proofErr w:type="gramEnd"/>
            <w:r w:rsidRPr="00B0443E">
              <w:rPr>
                <w:rFonts w:asciiTheme="minorHAnsi" w:hAnsiTheme="minorHAnsi" w:cstheme="minorHAnsi"/>
                <w:sz w:val="22"/>
                <w:szCs w:val="22"/>
              </w:rPr>
              <w:t xml:space="preserve"> adult needs to make one off financial decisions which may require a stand-alone assessment</w:t>
            </w:r>
            <w:r w:rsidR="002D35BB">
              <w:rPr>
                <w:rFonts w:asciiTheme="minorHAnsi" w:hAnsiTheme="minorHAnsi" w:cstheme="minorHAnsi"/>
                <w:sz w:val="22"/>
                <w:szCs w:val="22"/>
              </w:rPr>
              <w:t xml:space="preserve"> of mental capacity</w:t>
            </w:r>
            <w:r w:rsidRPr="00B0443E">
              <w:rPr>
                <w:rFonts w:asciiTheme="minorHAnsi" w:hAnsiTheme="minorHAnsi" w:cstheme="minorHAnsi"/>
                <w:sz w:val="22"/>
                <w:szCs w:val="22"/>
              </w:rPr>
              <w:t>. This could include gifts, loans or large-ticket items such as paying for a holiday.</w:t>
            </w:r>
          </w:p>
        </w:tc>
      </w:tr>
      <w:tr w:rsidR="000B761D" w:rsidRPr="00816E64" w14:paraId="31113612" w14:textId="77777777" w:rsidTr="00B0443E">
        <w:tc>
          <w:tcPr>
            <w:tcW w:w="10485" w:type="dxa"/>
            <w:shd w:val="clear" w:color="auto" w:fill="C5E0B3" w:themeFill="accent6" w:themeFillTint="66"/>
          </w:tcPr>
          <w:p w14:paraId="337B88FA" w14:textId="77777777" w:rsidR="00816E64" w:rsidRPr="00816E64" w:rsidRDefault="00816E64" w:rsidP="00816E64">
            <w:pPr>
              <w:rPr>
                <w:rFonts w:asciiTheme="minorHAnsi" w:hAnsiTheme="minorHAnsi" w:cs="Arial"/>
                <w:b/>
                <w:bCs/>
                <w:sz w:val="10"/>
                <w:szCs w:val="10"/>
              </w:rPr>
            </w:pPr>
          </w:p>
          <w:p w14:paraId="782976D8" w14:textId="6314E3FF" w:rsidR="000B761D" w:rsidRPr="00816E64" w:rsidRDefault="000B761D" w:rsidP="00816E64">
            <w:pPr>
              <w:jc w:val="center"/>
              <w:rPr>
                <w:rFonts w:asciiTheme="minorHAnsi" w:hAnsiTheme="minorHAnsi" w:cs="Arial"/>
                <w:b/>
                <w:bCs/>
                <w:sz w:val="28"/>
                <w:szCs w:val="28"/>
              </w:rPr>
            </w:pPr>
            <w:r w:rsidRPr="00816E64">
              <w:rPr>
                <w:rFonts w:asciiTheme="minorHAnsi" w:hAnsiTheme="minorHAnsi" w:cs="Arial"/>
                <w:b/>
                <w:bCs/>
                <w:sz w:val="28"/>
                <w:szCs w:val="28"/>
              </w:rPr>
              <w:t>The presumption of mental capacity and practicable steps</w:t>
            </w:r>
          </w:p>
          <w:p w14:paraId="010B7EEF" w14:textId="77777777" w:rsidR="000B761D" w:rsidRPr="00816E64" w:rsidRDefault="000B761D" w:rsidP="00454974">
            <w:pPr>
              <w:rPr>
                <w:rFonts w:asciiTheme="minorHAnsi" w:hAnsiTheme="minorHAnsi"/>
                <w:sz w:val="10"/>
                <w:szCs w:val="10"/>
              </w:rPr>
            </w:pPr>
          </w:p>
        </w:tc>
      </w:tr>
      <w:tr w:rsidR="000B761D" w:rsidRPr="00816E64" w14:paraId="0A0E4789" w14:textId="77777777" w:rsidTr="00B0443E">
        <w:tc>
          <w:tcPr>
            <w:tcW w:w="10485" w:type="dxa"/>
            <w:tcBorders>
              <w:bottom w:val="single" w:sz="4" w:space="0" w:color="auto"/>
            </w:tcBorders>
          </w:tcPr>
          <w:p w14:paraId="547898C5" w14:textId="77777777" w:rsidR="002D35BB" w:rsidRPr="002D35BB" w:rsidRDefault="002D35BB" w:rsidP="00FB7B82">
            <w:pPr>
              <w:ind w:left="57"/>
              <w:rPr>
                <w:rFonts w:asciiTheme="minorHAnsi" w:hAnsiTheme="minorHAnsi" w:cstheme="minorHAnsi"/>
                <w:sz w:val="10"/>
                <w:szCs w:val="10"/>
              </w:rPr>
            </w:pPr>
          </w:p>
          <w:p w14:paraId="2E135381" w14:textId="14030F8F" w:rsidR="00FB7B82" w:rsidRPr="00FB7B82" w:rsidRDefault="003F6453" w:rsidP="00FB7B82">
            <w:pPr>
              <w:ind w:left="57"/>
              <w:rPr>
                <w:rFonts w:ascii="Calibri" w:hAnsi="Calibri" w:cs="Calibri"/>
                <w:sz w:val="22"/>
                <w:szCs w:val="22"/>
                <w:lang w:val="en-US"/>
              </w:rPr>
            </w:pPr>
            <w:r w:rsidRPr="00C1538D">
              <w:rPr>
                <w:rFonts w:asciiTheme="minorHAnsi" w:hAnsiTheme="minorHAnsi" w:cstheme="minorHAnsi"/>
                <w:sz w:val="22"/>
                <w:szCs w:val="22"/>
              </w:rPr>
              <w:t>The starting point of the MCA is to presume a person has mental capacity to make a decision, including consenting to or refusing the intervention/assessment</w:t>
            </w:r>
            <w:r w:rsidR="00FB7B82" w:rsidRPr="00FB7B82">
              <w:rPr>
                <w:rFonts w:ascii="Calibri" w:hAnsi="Calibri" w:cs="Calibri"/>
                <w:sz w:val="22"/>
                <w:szCs w:val="22"/>
              </w:rPr>
              <w:t>. Before concluding that a person lacks mental capacity to decide, it is important to take all practical and appropriate steps to enable the person to make the decision themselves (2</w:t>
            </w:r>
            <w:r w:rsidR="00FB7B82" w:rsidRPr="00FB7B82">
              <w:rPr>
                <w:rFonts w:ascii="Calibri" w:hAnsi="Calibri" w:cs="Calibri"/>
                <w:sz w:val="22"/>
                <w:szCs w:val="22"/>
                <w:vertAlign w:val="superscript"/>
              </w:rPr>
              <w:t>nd</w:t>
            </w:r>
            <w:r w:rsidR="00FB7B82" w:rsidRPr="00FB7B82">
              <w:rPr>
                <w:rFonts w:ascii="Calibri" w:hAnsi="Calibri" w:cs="Calibri"/>
                <w:sz w:val="22"/>
                <w:szCs w:val="22"/>
              </w:rPr>
              <w:t xml:space="preserve"> principle of the MCA). Chapter 3 of the MCA Code of Practice gives detailed guidance on the steps that could be taken to support a person make a decision for themselves including: providing relevant information, </w:t>
            </w:r>
            <w:r w:rsidR="00FB7B82" w:rsidRPr="00FB7B82">
              <w:rPr>
                <w:rFonts w:ascii="Calibri" w:hAnsi="Calibri" w:cs="Calibri"/>
                <w:sz w:val="22"/>
                <w:szCs w:val="22"/>
                <w:lang w:val="en-US"/>
              </w:rPr>
              <w:t>communicating in an appropriate way, making the person feel at ease and supporting the person.</w:t>
            </w:r>
          </w:p>
          <w:p w14:paraId="36774299" w14:textId="77777777" w:rsidR="00FB7B82" w:rsidRPr="002D35BB" w:rsidRDefault="00FB7B82" w:rsidP="002D35BB">
            <w:pPr>
              <w:rPr>
                <w:rFonts w:ascii="Calibri" w:hAnsi="Calibri" w:cs="Calibri"/>
                <w:sz w:val="16"/>
                <w:szCs w:val="16"/>
                <w:lang w:val="en-US"/>
              </w:rPr>
            </w:pPr>
          </w:p>
          <w:p w14:paraId="6BCEA468" w14:textId="4687009F" w:rsidR="00FB7B82" w:rsidRDefault="00FB7B82" w:rsidP="00832B4B">
            <w:pPr>
              <w:rPr>
                <w:rFonts w:ascii="Calibri" w:hAnsi="Calibri" w:cs="Calibri"/>
                <w:sz w:val="22"/>
                <w:szCs w:val="22"/>
              </w:rPr>
            </w:pPr>
            <w:r w:rsidRPr="00FB7B82">
              <w:rPr>
                <w:rFonts w:ascii="Calibri" w:hAnsi="Calibri" w:cs="Calibri"/>
                <w:sz w:val="22"/>
                <w:szCs w:val="22"/>
                <w:lang w:val="en-US"/>
              </w:rPr>
              <w:t xml:space="preserve">In relation to management of financial affairs, it is important to remember that capacity can be acquired, </w:t>
            </w:r>
            <w:r w:rsidRPr="00FB7B82">
              <w:rPr>
                <w:rFonts w:ascii="Calibri" w:hAnsi="Calibri" w:cs="Calibri"/>
                <w:sz w:val="22"/>
                <w:szCs w:val="22"/>
              </w:rPr>
              <w:t>following a tailored programme of education or training.</w:t>
            </w:r>
            <w:r w:rsidRPr="00FB7B82">
              <w:rPr>
                <w:rStyle w:val="FootnoteReference"/>
                <w:rFonts w:ascii="Calibri" w:hAnsi="Calibri" w:cs="Calibri"/>
                <w:sz w:val="22"/>
                <w:szCs w:val="22"/>
              </w:rPr>
              <w:footnoteReference w:id="1"/>
            </w:r>
            <w:r w:rsidRPr="00FB7B82">
              <w:rPr>
                <w:rFonts w:ascii="Calibri" w:hAnsi="Calibri" w:cs="Calibri"/>
                <w:sz w:val="22"/>
                <w:szCs w:val="22"/>
              </w:rPr>
              <w:t xml:space="preserve"> Wherever possible, the professional carrying out the capacity </w:t>
            </w:r>
            <w:r w:rsidR="00832B4B">
              <w:rPr>
                <w:rFonts w:ascii="Calibri" w:hAnsi="Calibri" w:cs="Calibri"/>
                <w:sz w:val="22"/>
                <w:szCs w:val="22"/>
              </w:rPr>
              <w:t>assessment</w:t>
            </w:r>
            <w:r w:rsidRPr="00FB7B82">
              <w:rPr>
                <w:rFonts w:ascii="Calibri" w:hAnsi="Calibri" w:cs="Calibri"/>
                <w:sz w:val="22"/>
                <w:szCs w:val="22"/>
              </w:rPr>
              <w:t xml:space="preserve"> should use props, visual aids and documentation to support decision-making. This </w:t>
            </w:r>
            <w:r w:rsidR="00FF21AD">
              <w:rPr>
                <w:rFonts w:ascii="Calibri" w:hAnsi="Calibri" w:cs="Calibri"/>
                <w:sz w:val="22"/>
                <w:szCs w:val="22"/>
              </w:rPr>
              <w:t>c</w:t>
            </w:r>
            <w:r w:rsidRPr="00FB7B82">
              <w:rPr>
                <w:rFonts w:ascii="Calibri" w:hAnsi="Calibri" w:cs="Calibri"/>
                <w:sz w:val="22"/>
                <w:szCs w:val="22"/>
              </w:rPr>
              <w:t>ould include:</w:t>
            </w:r>
          </w:p>
          <w:p w14:paraId="4FFE1140" w14:textId="77777777" w:rsidR="00832B4B" w:rsidRPr="002D35BB" w:rsidRDefault="00832B4B" w:rsidP="00832B4B">
            <w:pPr>
              <w:rPr>
                <w:rFonts w:ascii="Calibri" w:hAnsi="Calibri" w:cs="Calibri"/>
                <w:sz w:val="10"/>
                <w:szCs w:val="10"/>
              </w:rPr>
            </w:pPr>
          </w:p>
          <w:p w14:paraId="71862B8E" w14:textId="77777777" w:rsidR="00FB7B82" w:rsidRPr="00FB7B82" w:rsidRDefault="00FB7B82" w:rsidP="00832B4B">
            <w:pPr>
              <w:pStyle w:val="ListParagraph"/>
              <w:numPr>
                <w:ilvl w:val="0"/>
                <w:numId w:val="14"/>
              </w:numPr>
              <w:spacing w:line="276" w:lineRule="auto"/>
              <w:jc w:val="both"/>
              <w:rPr>
                <w:rFonts w:ascii="Calibri" w:hAnsi="Calibri" w:cs="Calibri"/>
                <w:sz w:val="22"/>
                <w:szCs w:val="22"/>
                <w:lang w:val="en-US"/>
              </w:rPr>
            </w:pPr>
            <w:r w:rsidRPr="00FB7B82">
              <w:rPr>
                <w:rFonts w:ascii="Calibri" w:hAnsi="Calibri" w:cs="Calibri"/>
                <w:sz w:val="22"/>
                <w:szCs w:val="22"/>
                <w:lang w:val="en-US"/>
              </w:rPr>
              <w:t xml:space="preserve">Bank/building society statements, utility bills and other relevant documentation. </w:t>
            </w:r>
          </w:p>
          <w:p w14:paraId="65A30371" w14:textId="77777777" w:rsidR="00832B4B" w:rsidRDefault="00FB7B82" w:rsidP="00832B4B">
            <w:pPr>
              <w:pStyle w:val="ListParagraph"/>
              <w:numPr>
                <w:ilvl w:val="0"/>
                <w:numId w:val="14"/>
              </w:numPr>
              <w:spacing w:line="276" w:lineRule="auto"/>
              <w:jc w:val="both"/>
              <w:rPr>
                <w:rFonts w:ascii="Calibri" w:hAnsi="Calibri" w:cs="Calibri"/>
                <w:sz w:val="22"/>
                <w:szCs w:val="22"/>
                <w:lang w:val="en-US"/>
              </w:rPr>
            </w:pPr>
            <w:r w:rsidRPr="00FB7B82">
              <w:rPr>
                <w:rFonts w:ascii="Calibri" w:hAnsi="Calibri" w:cs="Calibri"/>
                <w:sz w:val="22"/>
                <w:szCs w:val="22"/>
                <w:lang w:val="en-US"/>
              </w:rPr>
              <w:t>Pictures and visual aids (e.g. pictures of everyday items along with the price).</w:t>
            </w:r>
          </w:p>
          <w:p w14:paraId="0CC20389" w14:textId="3C8C18DF" w:rsidR="000B761D" w:rsidRPr="00832B4B" w:rsidRDefault="00FB7B82" w:rsidP="00832B4B">
            <w:pPr>
              <w:pStyle w:val="ListParagraph"/>
              <w:numPr>
                <w:ilvl w:val="0"/>
                <w:numId w:val="14"/>
              </w:numPr>
              <w:spacing w:after="120" w:line="276" w:lineRule="auto"/>
              <w:jc w:val="both"/>
              <w:rPr>
                <w:rFonts w:ascii="Calibri" w:hAnsi="Calibri" w:cs="Calibri"/>
                <w:sz w:val="22"/>
                <w:szCs w:val="22"/>
                <w:lang w:val="en-US"/>
              </w:rPr>
            </w:pPr>
            <w:r w:rsidRPr="00832B4B">
              <w:rPr>
                <w:rFonts w:ascii="Calibri" w:hAnsi="Calibri" w:cs="Calibri"/>
                <w:sz w:val="22"/>
                <w:szCs w:val="22"/>
                <w:lang w:val="en-US"/>
              </w:rPr>
              <w:t>Real notes and coins.</w:t>
            </w:r>
          </w:p>
        </w:tc>
      </w:tr>
      <w:tr w:rsidR="000B761D" w:rsidRPr="00816E64" w14:paraId="782FEA4F" w14:textId="77777777" w:rsidTr="00B0443E">
        <w:tc>
          <w:tcPr>
            <w:tcW w:w="10485" w:type="dxa"/>
            <w:shd w:val="clear" w:color="auto" w:fill="C5E0B3" w:themeFill="accent6" w:themeFillTint="66"/>
          </w:tcPr>
          <w:p w14:paraId="2D9E4E97" w14:textId="77777777" w:rsidR="00816E64" w:rsidRPr="00816E64" w:rsidRDefault="00816E64" w:rsidP="00816E64">
            <w:pPr>
              <w:rPr>
                <w:rFonts w:asciiTheme="minorHAnsi" w:hAnsiTheme="minorHAnsi" w:cs="Arial"/>
                <w:b/>
                <w:bCs/>
                <w:sz w:val="10"/>
                <w:szCs w:val="10"/>
              </w:rPr>
            </w:pPr>
          </w:p>
          <w:p w14:paraId="1DFC8EDB" w14:textId="77777777" w:rsidR="000B761D" w:rsidRDefault="000B761D" w:rsidP="00816E64">
            <w:pPr>
              <w:jc w:val="center"/>
              <w:rPr>
                <w:rFonts w:asciiTheme="minorHAnsi" w:hAnsiTheme="minorHAnsi" w:cs="Arial"/>
                <w:b/>
                <w:bCs/>
                <w:sz w:val="28"/>
                <w:szCs w:val="28"/>
              </w:rPr>
            </w:pPr>
            <w:r w:rsidRPr="00816E64">
              <w:rPr>
                <w:rFonts w:asciiTheme="minorHAnsi" w:hAnsiTheme="minorHAnsi" w:cs="Arial"/>
                <w:b/>
                <w:bCs/>
                <w:sz w:val="28"/>
                <w:szCs w:val="28"/>
              </w:rPr>
              <w:t>Relevant information</w:t>
            </w:r>
          </w:p>
          <w:p w14:paraId="25B6FDB6" w14:textId="2D39D065" w:rsidR="00816E64" w:rsidRPr="00816E64" w:rsidRDefault="00816E64" w:rsidP="00816E64">
            <w:pPr>
              <w:rPr>
                <w:rFonts w:asciiTheme="minorHAnsi" w:hAnsiTheme="minorHAnsi"/>
                <w:b/>
                <w:bCs/>
                <w:sz w:val="10"/>
                <w:szCs w:val="10"/>
              </w:rPr>
            </w:pPr>
          </w:p>
        </w:tc>
      </w:tr>
      <w:tr w:rsidR="000B761D" w:rsidRPr="00816E64" w14:paraId="1F0241D6" w14:textId="77777777" w:rsidTr="00B0443E">
        <w:tc>
          <w:tcPr>
            <w:tcW w:w="10485" w:type="dxa"/>
            <w:tcBorders>
              <w:bottom w:val="single" w:sz="4" w:space="0" w:color="auto"/>
            </w:tcBorders>
          </w:tcPr>
          <w:p w14:paraId="085C8D1E" w14:textId="77777777" w:rsidR="002D35BB" w:rsidRPr="002D35BB" w:rsidRDefault="002D35BB" w:rsidP="00CF25B9">
            <w:pPr>
              <w:rPr>
                <w:rFonts w:ascii="Calibri" w:hAnsi="Calibri" w:cs="Calibri"/>
                <w:sz w:val="10"/>
                <w:szCs w:val="10"/>
              </w:rPr>
            </w:pPr>
          </w:p>
          <w:p w14:paraId="2C925A58" w14:textId="3189A3C5" w:rsidR="00153EF8" w:rsidRPr="00153EF8" w:rsidRDefault="00153EF8" w:rsidP="00CF25B9">
            <w:pPr>
              <w:rPr>
                <w:rFonts w:ascii="Calibri" w:hAnsi="Calibri" w:cs="Calibri"/>
                <w:sz w:val="22"/>
                <w:szCs w:val="22"/>
              </w:rPr>
            </w:pPr>
            <w:r w:rsidRPr="00153EF8">
              <w:rPr>
                <w:rFonts w:ascii="Calibri" w:hAnsi="Calibri" w:cs="Calibri"/>
                <w:sz w:val="22"/>
                <w:szCs w:val="22"/>
              </w:rPr>
              <w:t xml:space="preserve">The Court of Protection has not, </w:t>
            </w:r>
            <w:r w:rsidR="00FF21AD">
              <w:rPr>
                <w:rFonts w:ascii="Calibri" w:hAnsi="Calibri" w:cs="Calibri"/>
                <w:sz w:val="22"/>
                <w:szCs w:val="22"/>
              </w:rPr>
              <w:t>unlike in</w:t>
            </w:r>
            <w:r w:rsidRPr="00153EF8">
              <w:rPr>
                <w:rFonts w:ascii="Calibri" w:hAnsi="Calibri" w:cs="Calibri"/>
                <w:sz w:val="22"/>
                <w:szCs w:val="22"/>
              </w:rPr>
              <w:t xml:space="preserve"> other areas of decision-making, provided detailed guidance on the relevant information that a person needs to understand, retain and use or weigh in order to make capacitated decisions about their financial affairs. However, when considering the knowledge and skills that are required to manage financial affairs, the relevant </w:t>
            </w:r>
            <w:r w:rsidR="00FF21AD">
              <w:rPr>
                <w:rFonts w:ascii="Calibri" w:hAnsi="Calibri" w:cs="Calibri"/>
                <w:sz w:val="22"/>
                <w:szCs w:val="22"/>
              </w:rPr>
              <w:t xml:space="preserve">information </w:t>
            </w:r>
            <w:r w:rsidRPr="00153EF8">
              <w:rPr>
                <w:rFonts w:ascii="Calibri" w:hAnsi="Calibri" w:cs="Calibri"/>
                <w:sz w:val="22"/>
                <w:szCs w:val="22"/>
              </w:rPr>
              <w:t>may include:</w:t>
            </w:r>
          </w:p>
          <w:p w14:paraId="05A0BDC3" w14:textId="77777777" w:rsidR="00153EF8" w:rsidRPr="002D35BB" w:rsidRDefault="00153EF8" w:rsidP="00832B4B">
            <w:pPr>
              <w:spacing w:line="276" w:lineRule="auto"/>
              <w:rPr>
                <w:rFonts w:ascii="Calibri" w:hAnsi="Calibri" w:cs="Calibri"/>
                <w:sz w:val="10"/>
                <w:szCs w:val="10"/>
              </w:rPr>
            </w:pPr>
          </w:p>
          <w:p w14:paraId="029C8283" w14:textId="0A041F51" w:rsidR="00153EF8" w:rsidRPr="00153EF8" w:rsidRDefault="00153EF8" w:rsidP="00832B4B">
            <w:pPr>
              <w:pStyle w:val="ListParagraph"/>
              <w:numPr>
                <w:ilvl w:val="0"/>
                <w:numId w:val="15"/>
              </w:numPr>
              <w:spacing w:line="276" w:lineRule="auto"/>
              <w:rPr>
                <w:rFonts w:ascii="Calibri" w:hAnsi="Calibri" w:cs="Calibri"/>
                <w:sz w:val="22"/>
                <w:szCs w:val="22"/>
              </w:rPr>
            </w:pPr>
            <w:r w:rsidRPr="00153EF8">
              <w:rPr>
                <w:rFonts w:ascii="Calibri" w:hAnsi="Calibri" w:cs="Calibri"/>
                <w:sz w:val="22"/>
                <w:szCs w:val="22"/>
              </w:rPr>
              <w:t xml:space="preserve">Recognition </w:t>
            </w:r>
            <w:r w:rsidR="002D35BB">
              <w:rPr>
                <w:rFonts w:ascii="Calibri" w:hAnsi="Calibri" w:cs="Calibri"/>
                <w:sz w:val="22"/>
                <w:szCs w:val="22"/>
              </w:rPr>
              <w:t>and</w:t>
            </w:r>
            <w:r w:rsidRPr="00153EF8">
              <w:rPr>
                <w:rFonts w:ascii="Calibri" w:hAnsi="Calibri" w:cs="Calibri"/>
                <w:sz w:val="22"/>
                <w:szCs w:val="22"/>
              </w:rPr>
              <w:t xml:space="preserve"> awareness of money</w:t>
            </w:r>
          </w:p>
          <w:p w14:paraId="4947968F" w14:textId="77777777" w:rsidR="00153EF8" w:rsidRPr="00153EF8" w:rsidRDefault="00153EF8" w:rsidP="00832B4B">
            <w:pPr>
              <w:pStyle w:val="ListParagraph"/>
              <w:numPr>
                <w:ilvl w:val="0"/>
                <w:numId w:val="15"/>
              </w:numPr>
              <w:spacing w:line="276" w:lineRule="auto"/>
              <w:rPr>
                <w:rFonts w:ascii="Calibri" w:hAnsi="Calibri" w:cs="Calibri"/>
                <w:sz w:val="22"/>
                <w:szCs w:val="22"/>
              </w:rPr>
            </w:pPr>
            <w:r w:rsidRPr="00153EF8">
              <w:rPr>
                <w:rFonts w:ascii="Calibri" w:hAnsi="Calibri" w:cs="Calibri"/>
                <w:sz w:val="22"/>
                <w:szCs w:val="22"/>
              </w:rPr>
              <w:t>The relative value of everyday items</w:t>
            </w:r>
          </w:p>
          <w:p w14:paraId="5A67C3EB" w14:textId="5812CBC9" w:rsidR="00153EF8" w:rsidRPr="00153EF8" w:rsidRDefault="00153EF8" w:rsidP="00832B4B">
            <w:pPr>
              <w:pStyle w:val="ListParagraph"/>
              <w:numPr>
                <w:ilvl w:val="0"/>
                <w:numId w:val="15"/>
              </w:numPr>
              <w:spacing w:line="276" w:lineRule="auto"/>
              <w:rPr>
                <w:rFonts w:ascii="Calibri" w:hAnsi="Calibri" w:cs="Calibri"/>
                <w:sz w:val="22"/>
                <w:szCs w:val="22"/>
              </w:rPr>
            </w:pPr>
            <w:r w:rsidRPr="00153EF8">
              <w:rPr>
                <w:rFonts w:ascii="Calibri" w:hAnsi="Calibri" w:cs="Calibri"/>
                <w:sz w:val="22"/>
                <w:szCs w:val="22"/>
              </w:rPr>
              <w:t xml:space="preserve">Approximate income </w:t>
            </w:r>
            <w:r w:rsidR="002D35BB">
              <w:rPr>
                <w:rFonts w:ascii="Calibri" w:hAnsi="Calibri" w:cs="Calibri"/>
                <w:sz w:val="22"/>
                <w:szCs w:val="22"/>
              </w:rPr>
              <w:t>and</w:t>
            </w:r>
            <w:r w:rsidRPr="00153EF8">
              <w:rPr>
                <w:rFonts w:ascii="Calibri" w:hAnsi="Calibri" w:cs="Calibri"/>
                <w:sz w:val="22"/>
                <w:szCs w:val="22"/>
              </w:rPr>
              <w:t xml:space="preserve"> outgoings</w:t>
            </w:r>
          </w:p>
          <w:p w14:paraId="59D3E24A" w14:textId="77777777" w:rsidR="00153EF8" w:rsidRPr="00153EF8" w:rsidRDefault="00153EF8" w:rsidP="00832B4B">
            <w:pPr>
              <w:pStyle w:val="ListParagraph"/>
              <w:numPr>
                <w:ilvl w:val="0"/>
                <w:numId w:val="15"/>
              </w:numPr>
              <w:spacing w:line="276" w:lineRule="auto"/>
              <w:rPr>
                <w:rFonts w:ascii="Calibri" w:hAnsi="Calibri" w:cs="Calibri"/>
                <w:sz w:val="22"/>
                <w:szCs w:val="22"/>
              </w:rPr>
            </w:pPr>
            <w:r w:rsidRPr="00153EF8">
              <w:rPr>
                <w:rFonts w:ascii="Calibri" w:hAnsi="Calibri" w:cs="Calibri"/>
                <w:sz w:val="22"/>
                <w:szCs w:val="22"/>
              </w:rPr>
              <w:lastRenderedPageBreak/>
              <w:t>The importance of budgeting and financial planning</w:t>
            </w:r>
          </w:p>
          <w:p w14:paraId="16350FEA" w14:textId="77777777" w:rsidR="00153EF8" w:rsidRPr="00153EF8" w:rsidRDefault="00153EF8" w:rsidP="00832B4B">
            <w:pPr>
              <w:pStyle w:val="ListParagraph"/>
              <w:numPr>
                <w:ilvl w:val="0"/>
                <w:numId w:val="15"/>
              </w:numPr>
              <w:spacing w:line="276" w:lineRule="auto"/>
              <w:rPr>
                <w:rFonts w:ascii="Calibri" w:hAnsi="Calibri" w:cs="Calibri"/>
                <w:sz w:val="22"/>
                <w:szCs w:val="22"/>
              </w:rPr>
            </w:pPr>
            <w:r w:rsidRPr="00153EF8">
              <w:rPr>
                <w:rFonts w:ascii="Calibri" w:hAnsi="Calibri" w:cs="Calibri"/>
                <w:sz w:val="22"/>
                <w:szCs w:val="22"/>
              </w:rPr>
              <w:t>How to manage a bank account</w:t>
            </w:r>
          </w:p>
          <w:p w14:paraId="0CB034A4" w14:textId="77777777" w:rsidR="00153EF8" w:rsidRPr="00153EF8" w:rsidRDefault="00153EF8" w:rsidP="00832B4B">
            <w:pPr>
              <w:pStyle w:val="ListParagraph"/>
              <w:numPr>
                <w:ilvl w:val="0"/>
                <w:numId w:val="15"/>
              </w:numPr>
              <w:spacing w:line="276" w:lineRule="auto"/>
              <w:rPr>
                <w:rFonts w:ascii="Calibri" w:hAnsi="Calibri" w:cs="Calibri"/>
                <w:sz w:val="22"/>
                <w:szCs w:val="22"/>
              </w:rPr>
            </w:pPr>
            <w:r w:rsidRPr="00153EF8">
              <w:rPr>
                <w:rFonts w:ascii="Calibri" w:hAnsi="Calibri" w:cs="Calibri"/>
                <w:sz w:val="22"/>
                <w:szCs w:val="22"/>
              </w:rPr>
              <w:t>How to use ATMs and debit cards</w:t>
            </w:r>
          </w:p>
          <w:p w14:paraId="3D84DC91" w14:textId="0BCB1F52" w:rsidR="0055139B" w:rsidRDefault="00153EF8" w:rsidP="0055139B">
            <w:pPr>
              <w:pStyle w:val="ListParagraph"/>
              <w:numPr>
                <w:ilvl w:val="0"/>
                <w:numId w:val="15"/>
              </w:numPr>
              <w:spacing w:line="276" w:lineRule="auto"/>
              <w:rPr>
                <w:rFonts w:ascii="Calibri" w:hAnsi="Calibri" w:cs="Calibri"/>
                <w:sz w:val="22"/>
                <w:szCs w:val="22"/>
              </w:rPr>
            </w:pPr>
            <w:r w:rsidRPr="00153EF8">
              <w:rPr>
                <w:rFonts w:ascii="Calibri" w:hAnsi="Calibri" w:cs="Calibri"/>
                <w:sz w:val="22"/>
                <w:szCs w:val="22"/>
              </w:rPr>
              <w:t>How to manage investments, savings and shares</w:t>
            </w:r>
          </w:p>
          <w:p w14:paraId="74D1ACBA" w14:textId="2124AAC6" w:rsidR="00832B4B" w:rsidRDefault="002E6D6F" w:rsidP="00E95511">
            <w:pPr>
              <w:pStyle w:val="ListParagraph"/>
              <w:numPr>
                <w:ilvl w:val="0"/>
                <w:numId w:val="15"/>
              </w:numPr>
              <w:spacing w:line="276" w:lineRule="auto"/>
              <w:rPr>
                <w:rFonts w:ascii="Calibri" w:hAnsi="Calibri" w:cs="Calibri"/>
                <w:sz w:val="22"/>
                <w:szCs w:val="22"/>
              </w:rPr>
            </w:pPr>
            <w:r w:rsidRPr="002E6D6F">
              <w:rPr>
                <w:rFonts w:ascii="Calibri" w:hAnsi="Calibri" w:cs="Calibri"/>
                <w:sz w:val="22"/>
                <w:szCs w:val="22"/>
              </w:rPr>
              <w:t xml:space="preserve">The different mechanisms that could be </w:t>
            </w:r>
            <w:r>
              <w:rPr>
                <w:rFonts w:ascii="Calibri" w:hAnsi="Calibri" w:cs="Calibri"/>
                <w:sz w:val="22"/>
                <w:szCs w:val="22"/>
              </w:rPr>
              <w:t xml:space="preserve">implemented to support </w:t>
            </w:r>
            <w:r w:rsidR="0055139B" w:rsidRPr="002E6D6F">
              <w:rPr>
                <w:rFonts w:ascii="Calibri" w:hAnsi="Calibri" w:cs="Calibri"/>
                <w:sz w:val="22"/>
                <w:szCs w:val="22"/>
              </w:rPr>
              <w:t>the adult to manage their financial affairs</w:t>
            </w:r>
            <w:r w:rsidR="00832B4B" w:rsidRPr="002E6D6F">
              <w:rPr>
                <w:rFonts w:ascii="Calibri" w:hAnsi="Calibri" w:cs="Calibri"/>
                <w:sz w:val="22"/>
                <w:szCs w:val="22"/>
              </w:rPr>
              <w:t xml:space="preserve"> </w:t>
            </w:r>
            <w:r w:rsidR="00153EF8" w:rsidRPr="002E6D6F">
              <w:rPr>
                <w:rFonts w:ascii="Calibri" w:hAnsi="Calibri" w:cs="Calibri"/>
                <w:sz w:val="22"/>
                <w:szCs w:val="22"/>
              </w:rPr>
              <w:t xml:space="preserve">(e.g. informal support, granting a Lasting Power of Attorney for property </w:t>
            </w:r>
            <w:r w:rsidR="002D35BB">
              <w:rPr>
                <w:rFonts w:ascii="Calibri" w:hAnsi="Calibri" w:cs="Calibri"/>
                <w:sz w:val="22"/>
                <w:szCs w:val="22"/>
              </w:rPr>
              <w:t>and</w:t>
            </w:r>
            <w:r w:rsidR="00153EF8" w:rsidRPr="002E6D6F">
              <w:rPr>
                <w:rFonts w:ascii="Calibri" w:hAnsi="Calibri" w:cs="Calibri"/>
                <w:sz w:val="22"/>
                <w:szCs w:val="22"/>
              </w:rPr>
              <w:t xml:space="preserve"> financial </w:t>
            </w:r>
            <w:r w:rsidR="00153EF8" w:rsidRPr="001B6468">
              <w:rPr>
                <w:rFonts w:ascii="Calibri" w:hAnsi="Calibri" w:cs="Calibri"/>
                <w:sz w:val="22"/>
                <w:szCs w:val="22"/>
              </w:rPr>
              <w:t>affairs)</w:t>
            </w:r>
            <w:r w:rsidR="0055139B" w:rsidRPr="001B6468">
              <w:rPr>
                <w:rFonts w:ascii="Calibri" w:hAnsi="Calibri" w:cs="Calibri"/>
                <w:sz w:val="22"/>
                <w:szCs w:val="22"/>
              </w:rPr>
              <w:t>.</w:t>
            </w:r>
            <w:r w:rsidR="0055139B" w:rsidRPr="001B6468">
              <w:rPr>
                <w:rStyle w:val="FootnoteReference"/>
                <w:rFonts w:ascii="Calibri" w:hAnsi="Calibri" w:cs="Calibri"/>
                <w:sz w:val="22"/>
                <w:szCs w:val="22"/>
              </w:rPr>
              <w:footnoteReference w:id="2"/>
            </w:r>
          </w:p>
          <w:p w14:paraId="0D70EA6B" w14:textId="77777777" w:rsidR="002D35BB" w:rsidRPr="002D35BB" w:rsidRDefault="002D35BB" w:rsidP="002D35BB">
            <w:pPr>
              <w:spacing w:line="276" w:lineRule="auto"/>
              <w:rPr>
                <w:rFonts w:ascii="Calibri" w:hAnsi="Calibri" w:cs="Calibri"/>
                <w:sz w:val="10"/>
                <w:szCs w:val="10"/>
              </w:rPr>
            </w:pPr>
          </w:p>
          <w:p w14:paraId="7474AD7C" w14:textId="4D59F36A" w:rsidR="00153EF8" w:rsidRPr="00153EF8" w:rsidRDefault="00153EF8" w:rsidP="00832B4B">
            <w:pPr>
              <w:spacing w:line="276" w:lineRule="auto"/>
              <w:rPr>
                <w:rFonts w:ascii="Calibri" w:hAnsi="Calibri" w:cs="Calibri"/>
                <w:b/>
                <w:bCs/>
                <w:sz w:val="22"/>
                <w:szCs w:val="22"/>
              </w:rPr>
            </w:pPr>
            <w:r w:rsidRPr="00153EF8">
              <w:rPr>
                <w:rFonts w:ascii="Calibri" w:hAnsi="Calibri" w:cs="Calibri"/>
                <w:b/>
                <w:bCs/>
                <w:sz w:val="22"/>
                <w:szCs w:val="22"/>
              </w:rPr>
              <w:t xml:space="preserve">In cases of financial abuse, the relevant information </w:t>
            </w:r>
            <w:r>
              <w:rPr>
                <w:rFonts w:ascii="Calibri" w:hAnsi="Calibri" w:cs="Calibri"/>
                <w:b/>
                <w:bCs/>
                <w:sz w:val="22"/>
                <w:szCs w:val="22"/>
              </w:rPr>
              <w:t xml:space="preserve">would </w:t>
            </w:r>
            <w:r w:rsidRPr="00153EF8">
              <w:rPr>
                <w:rFonts w:ascii="Calibri" w:hAnsi="Calibri" w:cs="Calibri"/>
                <w:b/>
                <w:bCs/>
                <w:sz w:val="22"/>
                <w:szCs w:val="22"/>
              </w:rPr>
              <w:t>also include:</w:t>
            </w:r>
          </w:p>
          <w:p w14:paraId="3B305393" w14:textId="16B83BB5" w:rsidR="00153EF8" w:rsidRDefault="00153EF8" w:rsidP="00832B4B">
            <w:pPr>
              <w:pStyle w:val="ListParagraph"/>
              <w:numPr>
                <w:ilvl w:val="0"/>
                <w:numId w:val="16"/>
              </w:numPr>
              <w:spacing w:line="276" w:lineRule="auto"/>
              <w:rPr>
                <w:rFonts w:ascii="Calibri" w:hAnsi="Calibri" w:cs="Calibri"/>
                <w:sz w:val="22"/>
                <w:szCs w:val="22"/>
              </w:rPr>
            </w:pPr>
            <w:r w:rsidRPr="00153EF8">
              <w:rPr>
                <w:rFonts w:ascii="Calibri" w:hAnsi="Calibri" w:cs="Calibri"/>
                <w:sz w:val="22"/>
                <w:szCs w:val="22"/>
              </w:rPr>
              <w:t xml:space="preserve">The nature </w:t>
            </w:r>
            <w:r w:rsidR="002D35BB">
              <w:rPr>
                <w:rFonts w:ascii="Calibri" w:hAnsi="Calibri" w:cs="Calibri"/>
                <w:sz w:val="22"/>
                <w:szCs w:val="22"/>
              </w:rPr>
              <w:t>and</w:t>
            </w:r>
            <w:r w:rsidRPr="00153EF8">
              <w:rPr>
                <w:rFonts w:ascii="Calibri" w:hAnsi="Calibri" w:cs="Calibri"/>
                <w:sz w:val="22"/>
                <w:szCs w:val="22"/>
              </w:rPr>
              <w:t xml:space="preserve"> character of the abuse (e.g. whether the abuse was a one-off incident or is ongoing; whether the perpetrator is a </w:t>
            </w:r>
            <w:proofErr w:type="gramStart"/>
            <w:r w:rsidRPr="00153EF8">
              <w:rPr>
                <w:rFonts w:ascii="Calibri" w:hAnsi="Calibri" w:cs="Calibri"/>
                <w:sz w:val="22"/>
                <w:szCs w:val="22"/>
              </w:rPr>
              <w:t>stranger</w:t>
            </w:r>
            <w:proofErr w:type="gramEnd"/>
            <w:r w:rsidRPr="00153EF8">
              <w:rPr>
                <w:rFonts w:ascii="Calibri" w:hAnsi="Calibri" w:cs="Calibri"/>
                <w:sz w:val="22"/>
                <w:szCs w:val="22"/>
              </w:rPr>
              <w:t xml:space="preserve"> or someone known to the adult).</w:t>
            </w:r>
          </w:p>
          <w:p w14:paraId="4C777CF9" w14:textId="77777777" w:rsidR="000B761D" w:rsidRPr="00816E64" w:rsidRDefault="000B761D" w:rsidP="00245B7C">
            <w:pPr>
              <w:spacing w:line="276" w:lineRule="auto"/>
              <w:rPr>
                <w:rFonts w:asciiTheme="minorHAnsi" w:hAnsiTheme="minorHAnsi"/>
                <w:sz w:val="10"/>
                <w:szCs w:val="10"/>
              </w:rPr>
            </w:pPr>
          </w:p>
        </w:tc>
      </w:tr>
      <w:tr w:rsidR="000B761D" w:rsidRPr="00816E64" w14:paraId="295A96F3" w14:textId="77777777" w:rsidTr="00B0443E">
        <w:tc>
          <w:tcPr>
            <w:tcW w:w="10485" w:type="dxa"/>
            <w:shd w:val="clear" w:color="auto" w:fill="C5E0B3" w:themeFill="accent6" w:themeFillTint="66"/>
          </w:tcPr>
          <w:p w14:paraId="1ABAEC22" w14:textId="77777777" w:rsidR="00816E64" w:rsidRPr="00816E64" w:rsidRDefault="00816E64" w:rsidP="00816E64">
            <w:pPr>
              <w:jc w:val="center"/>
              <w:rPr>
                <w:rFonts w:asciiTheme="minorHAnsi" w:hAnsiTheme="minorHAnsi" w:cs="Arial"/>
                <w:b/>
                <w:bCs/>
                <w:sz w:val="10"/>
                <w:szCs w:val="10"/>
              </w:rPr>
            </w:pPr>
          </w:p>
          <w:p w14:paraId="26575219" w14:textId="77777777" w:rsidR="000B761D" w:rsidRDefault="000B761D" w:rsidP="00816E64">
            <w:pPr>
              <w:jc w:val="center"/>
              <w:rPr>
                <w:rFonts w:asciiTheme="minorHAnsi" w:hAnsiTheme="minorHAnsi" w:cs="Arial"/>
                <w:b/>
                <w:bCs/>
                <w:sz w:val="28"/>
                <w:szCs w:val="28"/>
              </w:rPr>
            </w:pPr>
            <w:r w:rsidRPr="00816E64">
              <w:rPr>
                <w:rFonts w:asciiTheme="minorHAnsi" w:hAnsiTheme="minorHAnsi" w:cs="Arial"/>
                <w:b/>
                <w:bCs/>
                <w:sz w:val="28"/>
                <w:szCs w:val="28"/>
              </w:rPr>
              <w:t>Carrying out the assessment</w:t>
            </w:r>
          </w:p>
          <w:p w14:paraId="0C801963" w14:textId="10018BA7" w:rsidR="00816E64" w:rsidRPr="00816E64" w:rsidRDefault="00816E64" w:rsidP="00816E64">
            <w:pPr>
              <w:jc w:val="center"/>
              <w:rPr>
                <w:rFonts w:asciiTheme="minorHAnsi" w:hAnsiTheme="minorHAnsi"/>
                <w:sz w:val="10"/>
                <w:szCs w:val="10"/>
              </w:rPr>
            </w:pPr>
          </w:p>
        </w:tc>
      </w:tr>
      <w:tr w:rsidR="000B761D" w:rsidRPr="00816E64" w14:paraId="4272195A" w14:textId="77777777" w:rsidTr="00B0443E">
        <w:tc>
          <w:tcPr>
            <w:tcW w:w="10485" w:type="dxa"/>
            <w:tcBorders>
              <w:bottom w:val="single" w:sz="4" w:space="0" w:color="auto"/>
            </w:tcBorders>
          </w:tcPr>
          <w:p w14:paraId="690FEAB9" w14:textId="77777777" w:rsidR="00A80DCC" w:rsidRDefault="000B761D" w:rsidP="00A80DCC">
            <w:pPr>
              <w:ind w:left="57"/>
              <w:rPr>
                <w:rFonts w:asciiTheme="minorHAnsi" w:hAnsiTheme="minorHAnsi" w:cs="Arial"/>
                <w:sz w:val="22"/>
                <w:szCs w:val="22"/>
              </w:rPr>
            </w:pPr>
            <w:r w:rsidRPr="00816E64">
              <w:rPr>
                <w:rFonts w:asciiTheme="minorHAnsi" w:hAnsiTheme="minorHAnsi" w:cs="Arial"/>
                <w:sz w:val="22"/>
                <w:szCs w:val="22"/>
              </w:rPr>
              <w:t xml:space="preserve">A capacity assessment is a dynamic process of providing the relevant information to the person and then asking the person questions to assess their ability to understand, retain, use or weigh that information, and communicate their decision. It may be necessary to provide the relevant information more than once and in different formats. For example, if a person doesn’t understand something the first time, it would be appropriate to explain it in a different way using a different method. </w:t>
            </w:r>
            <w:r w:rsidR="004C49DD">
              <w:rPr>
                <w:rFonts w:asciiTheme="minorHAnsi" w:hAnsiTheme="minorHAnsi" w:cs="Arial"/>
                <w:sz w:val="22"/>
                <w:szCs w:val="22"/>
              </w:rPr>
              <w:t xml:space="preserve">Due to the breadth and complexity of financial affairs, </w:t>
            </w:r>
            <w:r w:rsidR="00CC26C9">
              <w:rPr>
                <w:rFonts w:asciiTheme="minorHAnsi" w:hAnsiTheme="minorHAnsi" w:cs="Arial"/>
                <w:sz w:val="22"/>
                <w:szCs w:val="22"/>
              </w:rPr>
              <w:t>t</w:t>
            </w:r>
            <w:r w:rsidR="00CC26C9" w:rsidRPr="00CC26C9">
              <w:rPr>
                <w:rFonts w:asciiTheme="minorHAnsi" w:hAnsiTheme="minorHAnsi" w:cs="Arial"/>
                <w:sz w:val="22"/>
                <w:szCs w:val="22"/>
              </w:rPr>
              <w:t>he capacity assessment</w:t>
            </w:r>
            <w:r w:rsidR="00CC26C9">
              <w:rPr>
                <w:rFonts w:asciiTheme="minorHAnsi" w:hAnsiTheme="minorHAnsi" w:cs="Arial"/>
                <w:sz w:val="22"/>
                <w:szCs w:val="22"/>
              </w:rPr>
              <w:t xml:space="preserve"> may need to be carried out over several visits</w:t>
            </w:r>
            <w:r w:rsidR="00CF00BC">
              <w:rPr>
                <w:rFonts w:asciiTheme="minorHAnsi" w:hAnsiTheme="minorHAnsi" w:cs="Arial"/>
                <w:sz w:val="22"/>
                <w:szCs w:val="22"/>
              </w:rPr>
              <w:t>.</w:t>
            </w:r>
          </w:p>
          <w:p w14:paraId="53EFA73C" w14:textId="77777777" w:rsidR="00A80DCC" w:rsidRDefault="00A80DCC" w:rsidP="00A80DCC">
            <w:pPr>
              <w:ind w:left="57"/>
              <w:rPr>
                <w:rFonts w:asciiTheme="minorHAnsi" w:hAnsiTheme="minorHAnsi" w:cs="Arial"/>
                <w:sz w:val="22"/>
                <w:szCs w:val="22"/>
              </w:rPr>
            </w:pPr>
          </w:p>
          <w:p w14:paraId="19979C05" w14:textId="22ACA2D6" w:rsidR="00DD3C4D" w:rsidRPr="00A80DCC" w:rsidRDefault="000B761D" w:rsidP="00A80DCC">
            <w:pPr>
              <w:ind w:left="57"/>
              <w:rPr>
                <w:rFonts w:asciiTheme="minorHAnsi" w:hAnsiTheme="minorHAnsi" w:cs="Arial"/>
                <w:sz w:val="22"/>
                <w:szCs w:val="22"/>
              </w:rPr>
            </w:pPr>
            <w:r w:rsidRPr="00DB491D">
              <w:rPr>
                <w:rFonts w:asciiTheme="minorHAnsi" w:hAnsiTheme="minorHAnsi" w:cs="Arial"/>
                <w:sz w:val="22"/>
                <w:szCs w:val="22"/>
              </w:rPr>
              <w:t>It</w:t>
            </w:r>
            <w:r w:rsidRPr="00DB491D">
              <w:rPr>
                <w:rFonts w:asciiTheme="minorHAnsi" w:hAnsiTheme="minorHAnsi" w:cs="Arial"/>
                <w:color w:val="000000"/>
                <w:sz w:val="22"/>
                <w:szCs w:val="22"/>
              </w:rPr>
              <w:t xml:space="preserve"> is fundamental to the assessment process that the person is informed of the purpose of the assessment.</w:t>
            </w:r>
            <w:r w:rsidRPr="00DB491D">
              <w:rPr>
                <w:rStyle w:val="FootnoteReference"/>
                <w:rFonts w:asciiTheme="minorHAnsi" w:hAnsiTheme="minorHAnsi" w:cs="Arial"/>
                <w:color w:val="000000"/>
                <w:sz w:val="22"/>
                <w:szCs w:val="22"/>
              </w:rPr>
              <w:footnoteReference w:id="3"/>
            </w:r>
            <w:r w:rsidRPr="00DB491D">
              <w:rPr>
                <w:rFonts w:asciiTheme="minorHAnsi" w:hAnsiTheme="minorHAnsi" w:cs="Arial"/>
                <w:color w:val="000000"/>
                <w:sz w:val="22"/>
                <w:szCs w:val="22"/>
              </w:rPr>
              <w:t xml:space="preserve"> </w:t>
            </w:r>
            <w:r w:rsidRPr="00DB491D">
              <w:rPr>
                <w:rFonts w:asciiTheme="minorHAnsi" w:hAnsiTheme="minorHAnsi" w:cs="Arial"/>
                <w:sz w:val="22"/>
                <w:szCs w:val="22"/>
              </w:rPr>
              <w:t>This could</w:t>
            </w:r>
            <w:r w:rsidR="00CF00BC" w:rsidRPr="00DB491D">
              <w:rPr>
                <w:rFonts w:asciiTheme="minorHAnsi" w:hAnsiTheme="minorHAnsi" w:cs="Arial"/>
                <w:sz w:val="22"/>
                <w:szCs w:val="22"/>
              </w:rPr>
              <w:t>, for example,</w:t>
            </w:r>
            <w:r w:rsidRPr="00DB491D">
              <w:rPr>
                <w:rFonts w:asciiTheme="minorHAnsi" w:hAnsiTheme="minorHAnsi" w:cs="Arial"/>
                <w:sz w:val="22"/>
                <w:szCs w:val="22"/>
              </w:rPr>
              <w:t xml:space="preserve"> involve informing the adult at risk that there are concerns about their </w:t>
            </w:r>
            <w:r w:rsidR="00CF00BC" w:rsidRPr="00DB491D">
              <w:rPr>
                <w:rFonts w:asciiTheme="minorHAnsi" w:hAnsiTheme="minorHAnsi" w:cs="Arial"/>
                <w:sz w:val="22"/>
                <w:szCs w:val="22"/>
              </w:rPr>
              <w:t>ability to manage their finances</w:t>
            </w:r>
            <w:r w:rsidR="00DD3C4D" w:rsidRPr="00DB491D">
              <w:rPr>
                <w:rFonts w:asciiTheme="minorHAnsi" w:hAnsiTheme="minorHAnsi" w:cs="Arial"/>
                <w:sz w:val="22"/>
                <w:szCs w:val="22"/>
              </w:rPr>
              <w:t xml:space="preserve"> </w:t>
            </w:r>
            <w:r w:rsidR="00716F9F" w:rsidRPr="00DB491D">
              <w:rPr>
                <w:rFonts w:asciiTheme="minorHAnsi" w:hAnsiTheme="minorHAnsi" w:cs="Arial"/>
                <w:sz w:val="22"/>
                <w:szCs w:val="22"/>
              </w:rPr>
              <w:t xml:space="preserve">and that you need to check </w:t>
            </w:r>
            <w:r w:rsidR="00716F9F" w:rsidRPr="00DB491D">
              <w:rPr>
                <w:rFonts w:asciiTheme="minorHAnsi" w:hAnsiTheme="minorHAnsi" w:cstheme="minorHAnsi"/>
                <w:sz w:val="22"/>
                <w:szCs w:val="22"/>
              </w:rPr>
              <w:t>that they are making informed decisions.</w:t>
            </w:r>
          </w:p>
          <w:p w14:paraId="60D3C637" w14:textId="77777777" w:rsidR="000B761D" w:rsidRPr="002D35BB" w:rsidRDefault="000B761D" w:rsidP="00454974">
            <w:pPr>
              <w:rPr>
                <w:rFonts w:asciiTheme="minorHAnsi" w:hAnsiTheme="minorHAnsi" w:cs="Arial"/>
                <w:sz w:val="16"/>
                <w:szCs w:val="16"/>
              </w:rPr>
            </w:pPr>
          </w:p>
          <w:p w14:paraId="376813E8" w14:textId="77777777" w:rsidR="000B761D" w:rsidRPr="00816E64" w:rsidRDefault="000B761D" w:rsidP="00454974">
            <w:pPr>
              <w:ind w:left="57"/>
              <w:rPr>
                <w:rFonts w:asciiTheme="minorHAnsi" w:hAnsiTheme="minorHAnsi" w:cs="Arial"/>
                <w:b/>
                <w:bCs/>
                <w:sz w:val="28"/>
                <w:szCs w:val="28"/>
              </w:rPr>
            </w:pPr>
            <w:r w:rsidRPr="00816E64">
              <w:rPr>
                <w:rFonts w:asciiTheme="minorHAnsi" w:hAnsiTheme="minorHAnsi" w:cs="Arial"/>
                <w:b/>
                <w:bCs/>
                <w:sz w:val="28"/>
                <w:szCs w:val="28"/>
              </w:rPr>
              <w:t>Understanding the relevant information</w:t>
            </w:r>
          </w:p>
          <w:p w14:paraId="4E6D23C0" w14:textId="77777777" w:rsidR="0047270A" w:rsidRDefault="000B761D" w:rsidP="0047270A">
            <w:pPr>
              <w:ind w:left="57"/>
              <w:rPr>
                <w:rFonts w:asciiTheme="minorHAnsi" w:hAnsiTheme="minorHAnsi" w:cs="Arial"/>
                <w:sz w:val="22"/>
                <w:szCs w:val="22"/>
                <w:lang w:val="en-US"/>
              </w:rPr>
            </w:pPr>
            <w:r w:rsidRPr="00816E64">
              <w:rPr>
                <w:rFonts w:asciiTheme="minorHAnsi" w:hAnsiTheme="minorHAnsi" w:cs="Arial"/>
                <w:sz w:val="22"/>
                <w:szCs w:val="22"/>
              </w:rPr>
              <w:t xml:space="preserve">The case law is clear that </w:t>
            </w:r>
            <w:r w:rsidR="00D83D07">
              <w:rPr>
                <w:rFonts w:asciiTheme="minorHAnsi" w:hAnsiTheme="minorHAnsi" w:cs="Arial"/>
                <w:i/>
                <w:iCs/>
                <w:sz w:val="22"/>
                <w:szCs w:val="22"/>
                <w:lang w:val="en-US"/>
              </w:rPr>
              <w:t>‘</w:t>
            </w:r>
            <w:r w:rsidRPr="00816E64">
              <w:rPr>
                <w:rFonts w:asciiTheme="minorHAnsi" w:hAnsiTheme="minorHAnsi" w:cs="Arial"/>
                <w:i/>
                <w:iCs/>
                <w:sz w:val="22"/>
                <w:szCs w:val="22"/>
                <w:lang w:val="en-US"/>
              </w:rPr>
              <w:t>It is not necessary for a person to demonstrate a capacity to understand and weigh up every detail of the respective options, but merely the salient factors.</w:t>
            </w:r>
            <w:r w:rsidR="00D83D07">
              <w:rPr>
                <w:rFonts w:asciiTheme="minorHAnsi" w:hAnsiTheme="minorHAnsi" w:cs="Arial"/>
                <w:i/>
                <w:iCs/>
                <w:sz w:val="22"/>
                <w:szCs w:val="22"/>
                <w:lang w:val="en-US"/>
              </w:rPr>
              <w:t>’</w:t>
            </w:r>
            <w:r w:rsidRPr="00816E64">
              <w:rPr>
                <w:rFonts w:asciiTheme="minorHAnsi" w:hAnsiTheme="minorHAnsi" w:cs="Arial"/>
                <w:i/>
                <w:iCs/>
                <w:sz w:val="22"/>
                <w:szCs w:val="22"/>
                <w:lang w:val="en-US"/>
              </w:rPr>
              <w:t xml:space="preserve"> </w:t>
            </w:r>
            <w:r w:rsidRPr="00606E6C">
              <w:rPr>
                <w:rStyle w:val="FootnoteReference"/>
                <w:rFonts w:asciiTheme="minorHAnsi" w:hAnsiTheme="minorHAnsi" w:cs="Arial"/>
                <w:sz w:val="22"/>
                <w:szCs w:val="22"/>
                <w:lang w:val="en-US"/>
              </w:rPr>
              <w:footnoteReference w:id="4"/>
            </w:r>
            <w:r w:rsidRPr="00816E64">
              <w:rPr>
                <w:rFonts w:asciiTheme="minorHAnsi" w:hAnsiTheme="minorHAnsi" w:cs="Arial"/>
                <w:i/>
                <w:iCs/>
                <w:sz w:val="22"/>
                <w:szCs w:val="22"/>
                <w:lang w:val="en-US"/>
              </w:rPr>
              <w:t xml:space="preserve"> </w:t>
            </w:r>
            <w:r w:rsidRPr="00816E64">
              <w:rPr>
                <w:rFonts w:asciiTheme="minorHAnsi" w:hAnsiTheme="minorHAnsi" w:cs="Arial"/>
                <w:sz w:val="22"/>
                <w:szCs w:val="22"/>
                <w:lang w:val="en-US"/>
              </w:rPr>
              <w:t xml:space="preserve">Similarly, assessors </w:t>
            </w:r>
            <w:r w:rsidR="00D83D07">
              <w:rPr>
                <w:rFonts w:asciiTheme="minorHAnsi" w:hAnsiTheme="minorHAnsi" w:cs="Arial"/>
                <w:sz w:val="22"/>
                <w:szCs w:val="22"/>
                <w:lang w:val="en-US"/>
              </w:rPr>
              <w:t>‘...</w:t>
            </w:r>
            <w:r w:rsidRPr="00816E64">
              <w:rPr>
                <w:rFonts w:asciiTheme="minorHAnsi" w:hAnsiTheme="minorHAnsi" w:cs="Arial"/>
                <w:i/>
                <w:iCs/>
                <w:sz w:val="22"/>
                <w:szCs w:val="22"/>
                <w:lang w:val="en-US"/>
              </w:rPr>
              <w:t>must guard against imposing too high a test of capacity...because to do so would run the risk of discriminating against people suffering from a mental disability.</w:t>
            </w:r>
            <w:r w:rsidR="00D83D07">
              <w:rPr>
                <w:rFonts w:asciiTheme="minorHAnsi" w:hAnsiTheme="minorHAnsi" w:cs="Arial"/>
                <w:sz w:val="22"/>
                <w:szCs w:val="22"/>
                <w:lang w:val="en-US"/>
              </w:rPr>
              <w:t>’</w:t>
            </w:r>
            <w:r w:rsidRPr="00816E64">
              <w:rPr>
                <w:rFonts w:asciiTheme="minorHAnsi" w:hAnsiTheme="minorHAnsi" w:cs="Arial"/>
                <w:sz w:val="22"/>
                <w:szCs w:val="22"/>
                <w:lang w:val="en-US"/>
              </w:rPr>
              <w:t xml:space="preserve"> </w:t>
            </w:r>
            <w:r w:rsidRPr="00816E64">
              <w:rPr>
                <w:rStyle w:val="FootnoteReference"/>
                <w:rFonts w:asciiTheme="minorHAnsi" w:hAnsiTheme="minorHAnsi" w:cs="Arial"/>
                <w:sz w:val="22"/>
                <w:szCs w:val="22"/>
                <w:lang w:val="en-US"/>
              </w:rPr>
              <w:footnoteReference w:id="5"/>
            </w:r>
            <w:r w:rsidR="0047270A">
              <w:rPr>
                <w:rFonts w:asciiTheme="minorHAnsi" w:hAnsiTheme="minorHAnsi" w:cs="Arial"/>
                <w:sz w:val="22"/>
                <w:szCs w:val="22"/>
                <w:lang w:val="en-US"/>
              </w:rPr>
              <w:t xml:space="preserve"> </w:t>
            </w:r>
          </w:p>
          <w:p w14:paraId="6A77CF9F" w14:textId="77777777" w:rsidR="0047270A" w:rsidRPr="002D35BB" w:rsidRDefault="0047270A" w:rsidP="0047270A">
            <w:pPr>
              <w:ind w:left="57"/>
              <w:rPr>
                <w:rFonts w:asciiTheme="minorHAnsi" w:hAnsiTheme="minorHAnsi" w:cs="Arial"/>
                <w:sz w:val="16"/>
                <w:szCs w:val="16"/>
                <w:lang w:val="en-US"/>
              </w:rPr>
            </w:pPr>
          </w:p>
          <w:p w14:paraId="3327790C" w14:textId="34D75710" w:rsidR="00B70439" w:rsidRPr="0047270A" w:rsidRDefault="00B70439" w:rsidP="0047270A">
            <w:pPr>
              <w:ind w:left="57"/>
              <w:rPr>
                <w:rFonts w:asciiTheme="minorHAnsi" w:hAnsiTheme="minorHAnsi" w:cs="Arial"/>
                <w:sz w:val="22"/>
                <w:szCs w:val="22"/>
                <w:lang w:val="en-US"/>
              </w:rPr>
            </w:pPr>
            <w:r w:rsidRPr="00824A5B">
              <w:rPr>
                <w:rFonts w:asciiTheme="minorHAnsi" w:hAnsiTheme="minorHAnsi" w:cs="Arial"/>
                <w:sz w:val="22"/>
                <w:szCs w:val="22"/>
              </w:rPr>
              <w:t xml:space="preserve">After giving the </w:t>
            </w:r>
            <w:r>
              <w:rPr>
                <w:rFonts w:asciiTheme="minorHAnsi" w:hAnsiTheme="minorHAnsi" w:cs="Arial"/>
                <w:sz w:val="22"/>
                <w:szCs w:val="22"/>
              </w:rPr>
              <w:t>adult</w:t>
            </w:r>
            <w:r w:rsidRPr="00824A5B">
              <w:rPr>
                <w:rFonts w:asciiTheme="minorHAnsi" w:hAnsiTheme="minorHAnsi" w:cs="Arial"/>
                <w:sz w:val="22"/>
                <w:szCs w:val="22"/>
              </w:rPr>
              <w:t xml:space="preserve"> </w:t>
            </w:r>
            <w:r w:rsidRPr="00E72FAD">
              <w:rPr>
                <w:rFonts w:asciiTheme="minorHAnsi" w:hAnsiTheme="minorHAnsi" w:cs="Arial"/>
                <w:b/>
                <w:bCs/>
                <w:sz w:val="22"/>
                <w:szCs w:val="22"/>
              </w:rPr>
              <w:t xml:space="preserve">the relevant information </w:t>
            </w:r>
            <w:r w:rsidRPr="00245B7C">
              <w:rPr>
                <w:rFonts w:asciiTheme="minorHAnsi" w:hAnsiTheme="minorHAnsi" w:cs="Arial"/>
                <w:sz w:val="22"/>
                <w:szCs w:val="22"/>
              </w:rPr>
              <w:t>(see the box on the first page),</w:t>
            </w:r>
            <w:r w:rsidRPr="00824A5B">
              <w:rPr>
                <w:rFonts w:asciiTheme="minorHAnsi" w:hAnsiTheme="minorHAnsi" w:cs="Arial"/>
                <w:sz w:val="22"/>
                <w:szCs w:val="22"/>
              </w:rPr>
              <w:t xml:space="preserve"> potential questions to ask to assess the person’s ability to understand it could include:</w:t>
            </w:r>
          </w:p>
          <w:p w14:paraId="3EBEA75D" w14:textId="77777777" w:rsidR="00B70439" w:rsidRPr="002D35BB" w:rsidRDefault="00B70439" w:rsidP="002D35BB">
            <w:pPr>
              <w:rPr>
                <w:rFonts w:asciiTheme="minorHAnsi" w:hAnsiTheme="minorHAnsi" w:cs="Arial"/>
                <w:sz w:val="10"/>
                <w:szCs w:val="10"/>
                <w:lang w:val="en-US"/>
              </w:rPr>
            </w:pPr>
          </w:p>
          <w:p w14:paraId="6FC9EED0" w14:textId="100AE93C" w:rsidR="001C2918" w:rsidRPr="00A55CA9" w:rsidRDefault="001C2918" w:rsidP="001C2918">
            <w:pPr>
              <w:spacing w:line="276" w:lineRule="auto"/>
              <w:rPr>
                <w:rFonts w:ascii="Calibri" w:hAnsi="Calibri" w:cs="Calibri"/>
                <w:b/>
                <w:bCs/>
                <w:sz w:val="22"/>
                <w:szCs w:val="22"/>
              </w:rPr>
            </w:pPr>
            <w:r w:rsidRPr="00A55CA9">
              <w:rPr>
                <w:rFonts w:ascii="Calibri" w:hAnsi="Calibri" w:cs="Calibri"/>
                <w:b/>
                <w:bCs/>
                <w:sz w:val="22"/>
                <w:szCs w:val="22"/>
              </w:rPr>
              <w:t xml:space="preserve">Recognition </w:t>
            </w:r>
            <w:r w:rsidR="002D35BB">
              <w:rPr>
                <w:rFonts w:ascii="Calibri" w:hAnsi="Calibri" w:cs="Calibri"/>
                <w:b/>
                <w:bCs/>
                <w:sz w:val="22"/>
                <w:szCs w:val="22"/>
              </w:rPr>
              <w:t>and</w:t>
            </w:r>
            <w:r w:rsidRPr="00A55CA9">
              <w:rPr>
                <w:rFonts w:ascii="Calibri" w:hAnsi="Calibri" w:cs="Calibri"/>
                <w:b/>
                <w:bCs/>
                <w:sz w:val="22"/>
                <w:szCs w:val="22"/>
              </w:rPr>
              <w:t xml:space="preserve"> awareness of money</w:t>
            </w:r>
            <w:r w:rsidR="00E80F31">
              <w:rPr>
                <w:rFonts w:ascii="Calibri" w:hAnsi="Calibri" w:cs="Calibri"/>
                <w:b/>
                <w:bCs/>
                <w:sz w:val="22"/>
                <w:szCs w:val="22"/>
              </w:rPr>
              <w:t>:</w:t>
            </w:r>
          </w:p>
          <w:p w14:paraId="30DBA5D0" w14:textId="77777777"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What is money for?</w:t>
            </w:r>
          </w:p>
          <w:p w14:paraId="7574E6F7" w14:textId="77777777"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How much is this coin/note worth (show a range of notes and coins)?</w:t>
            </w:r>
          </w:p>
          <w:p w14:paraId="20CD79BC" w14:textId="77777777"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Can you sort the coins and notes into order starting with the smallest (demonstrate if necessary)?</w:t>
            </w:r>
          </w:p>
          <w:p w14:paraId="05C3D946" w14:textId="77777777"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Can you give me £2.50 from the coins?</w:t>
            </w:r>
          </w:p>
          <w:p w14:paraId="4572F9D8" w14:textId="0DA25DEB" w:rsidR="001C2918"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Can you tell me how much money you have in your purse/wallet?</w:t>
            </w:r>
          </w:p>
          <w:p w14:paraId="28F9BFE9" w14:textId="77777777" w:rsidR="002D35BB" w:rsidRPr="002D35BB" w:rsidRDefault="002D35BB" w:rsidP="002D35BB">
            <w:pPr>
              <w:spacing w:line="276" w:lineRule="auto"/>
              <w:rPr>
                <w:rFonts w:ascii="Calibri" w:hAnsi="Calibri" w:cs="Calibri"/>
                <w:i/>
                <w:iCs/>
                <w:sz w:val="10"/>
                <w:szCs w:val="10"/>
              </w:rPr>
            </w:pPr>
          </w:p>
          <w:p w14:paraId="66E79BC6" w14:textId="47198462" w:rsidR="001C2918" w:rsidRPr="00A55CA9" w:rsidRDefault="001C2918" w:rsidP="001C2918">
            <w:pPr>
              <w:spacing w:line="276" w:lineRule="auto"/>
              <w:rPr>
                <w:rFonts w:ascii="Calibri" w:hAnsi="Calibri" w:cs="Calibri"/>
                <w:b/>
                <w:bCs/>
                <w:sz w:val="22"/>
                <w:szCs w:val="22"/>
              </w:rPr>
            </w:pPr>
            <w:r w:rsidRPr="00A55CA9">
              <w:rPr>
                <w:rFonts w:ascii="Calibri" w:hAnsi="Calibri" w:cs="Calibri"/>
                <w:b/>
                <w:bCs/>
                <w:sz w:val="22"/>
                <w:szCs w:val="22"/>
              </w:rPr>
              <w:t>The relative value of everyday items</w:t>
            </w:r>
            <w:r w:rsidR="00E80F31">
              <w:rPr>
                <w:rFonts w:ascii="Calibri" w:hAnsi="Calibri" w:cs="Calibri"/>
                <w:b/>
                <w:bCs/>
                <w:sz w:val="22"/>
                <w:szCs w:val="22"/>
              </w:rPr>
              <w:t>:</w:t>
            </w:r>
          </w:p>
          <w:p w14:paraId="5E4FDFA2" w14:textId="77777777"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What could you buy from the shop with £10 (show pictures of everyday items along with the price)?</w:t>
            </w:r>
          </w:p>
          <w:p w14:paraId="3943287D" w14:textId="2F543E26"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 xml:space="preserve">Would you get change from £10 if you bought a loaf of bread </w:t>
            </w:r>
            <w:r w:rsidR="002D35BB">
              <w:rPr>
                <w:rFonts w:ascii="Calibri" w:hAnsi="Calibri" w:cs="Calibri"/>
                <w:i/>
                <w:iCs/>
                <w:sz w:val="22"/>
                <w:szCs w:val="22"/>
              </w:rPr>
              <w:t>and</w:t>
            </w:r>
            <w:r w:rsidRPr="00A55CA9">
              <w:rPr>
                <w:rFonts w:ascii="Calibri" w:hAnsi="Calibri" w:cs="Calibri"/>
                <w:i/>
                <w:iCs/>
                <w:sz w:val="22"/>
                <w:szCs w:val="22"/>
              </w:rPr>
              <w:t xml:space="preserve"> a pint of milk? How would you know if the change was correct?</w:t>
            </w:r>
          </w:p>
          <w:p w14:paraId="607506B2" w14:textId="4E6C35F1"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If you wanted to buy an i</w:t>
            </w:r>
            <w:r w:rsidR="00D81D83">
              <w:rPr>
                <w:rFonts w:ascii="Calibri" w:hAnsi="Calibri" w:cs="Calibri"/>
                <w:i/>
                <w:iCs/>
                <w:sz w:val="22"/>
                <w:szCs w:val="22"/>
              </w:rPr>
              <w:t>P</w:t>
            </w:r>
            <w:r w:rsidRPr="00A55CA9">
              <w:rPr>
                <w:rFonts w:ascii="Calibri" w:hAnsi="Calibri" w:cs="Calibri"/>
                <w:i/>
                <w:iCs/>
                <w:sz w:val="22"/>
                <w:szCs w:val="22"/>
              </w:rPr>
              <w:t>ad and a shirt, which would cost more?</w:t>
            </w:r>
          </w:p>
          <w:p w14:paraId="048EB8DA" w14:textId="77777777"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What is more expensive e.g. a pint of milk or a pair of trainers?</w:t>
            </w:r>
          </w:p>
          <w:p w14:paraId="72564308" w14:textId="415E493C"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What costs less e.g. an i</w:t>
            </w:r>
            <w:r w:rsidR="00D81D83">
              <w:rPr>
                <w:rFonts w:ascii="Calibri" w:hAnsi="Calibri" w:cs="Calibri"/>
                <w:i/>
                <w:iCs/>
                <w:sz w:val="22"/>
                <w:szCs w:val="22"/>
              </w:rPr>
              <w:t>P</w:t>
            </w:r>
            <w:r w:rsidRPr="00A55CA9">
              <w:rPr>
                <w:rFonts w:ascii="Calibri" w:hAnsi="Calibri" w:cs="Calibri"/>
                <w:i/>
                <w:iCs/>
                <w:sz w:val="22"/>
                <w:szCs w:val="22"/>
              </w:rPr>
              <w:t>ad or a cup of coffee?</w:t>
            </w:r>
          </w:p>
          <w:p w14:paraId="01E87FAE" w14:textId="77777777" w:rsidR="002D35BB" w:rsidRDefault="002D35BB" w:rsidP="000409D7">
            <w:pPr>
              <w:spacing w:line="276" w:lineRule="auto"/>
              <w:rPr>
                <w:rFonts w:ascii="Calibri" w:hAnsi="Calibri" w:cs="Calibri"/>
                <w:b/>
                <w:bCs/>
                <w:sz w:val="22"/>
                <w:szCs w:val="22"/>
              </w:rPr>
            </w:pPr>
          </w:p>
          <w:p w14:paraId="1CC25B37" w14:textId="77777777" w:rsidR="002D35BB" w:rsidRDefault="002D35BB" w:rsidP="000409D7">
            <w:pPr>
              <w:spacing w:line="276" w:lineRule="auto"/>
              <w:rPr>
                <w:rFonts w:ascii="Calibri" w:hAnsi="Calibri" w:cs="Calibri"/>
                <w:b/>
                <w:bCs/>
                <w:sz w:val="22"/>
                <w:szCs w:val="22"/>
              </w:rPr>
            </w:pPr>
          </w:p>
          <w:p w14:paraId="274A85B3" w14:textId="67320001" w:rsidR="002D35BB" w:rsidRPr="002D35BB" w:rsidRDefault="000409D7" w:rsidP="000409D7">
            <w:pPr>
              <w:spacing w:line="276" w:lineRule="auto"/>
              <w:rPr>
                <w:rFonts w:ascii="Calibri" w:hAnsi="Calibri" w:cs="Calibri"/>
                <w:b/>
                <w:bCs/>
                <w:sz w:val="22"/>
                <w:szCs w:val="22"/>
              </w:rPr>
            </w:pPr>
            <w:r w:rsidRPr="000409D7">
              <w:rPr>
                <w:rFonts w:ascii="Calibri" w:hAnsi="Calibri" w:cs="Calibri"/>
                <w:b/>
                <w:bCs/>
                <w:sz w:val="22"/>
                <w:szCs w:val="22"/>
              </w:rPr>
              <w:t xml:space="preserve">Approximate income </w:t>
            </w:r>
            <w:r w:rsidR="002D35BB">
              <w:rPr>
                <w:rFonts w:ascii="Calibri" w:hAnsi="Calibri" w:cs="Calibri"/>
                <w:b/>
                <w:bCs/>
                <w:sz w:val="22"/>
                <w:szCs w:val="22"/>
              </w:rPr>
              <w:t>and</w:t>
            </w:r>
            <w:r w:rsidRPr="000409D7">
              <w:rPr>
                <w:rFonts w:ascii="Calibri" w:hAnsi="Calibri" w:cs="Calibri"/>
                <w:b/>
                <w:bCs/>
                <w:sz w:val="22"/>
                <w:szCs w:val="22"/>
              </w:rPr>
              <w:t xml:space="preserve"> outgoings</w:t>
            </w:r>
            <w:r w:rsidR="00E80F31">
              <w:rPr>
                <w:rFonts w:ascii="Calibri" w:hAnsi="Calibri" w:cs="Calibri"/>
                <w:b/>
                <w:bCs/>
                <w:sz w:val="22"/>
                <w:szCs w:val="22"/>
              </w:rPr>
              <w:t>:</w:t>
            </w:r>
          </w:p>
          <w:p w14:paraId="7B98B5F4" w14:textId="77777777"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 xml:space="preserve">Do you receive any benefits? Which ones? </w:t>
            </w:r>
          </w:p>
          <w:p w14:paraId="2C893E5D" w14:textId="77777777"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How are your benefits paid?</w:t>
            </w:r>
          </w:p>
          <w:p w14:paraId="282A3ED8" w14:textId="77777777"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Roughly how much money do you receive each week/month?</w:t>
            </w:r>
          </w:p>
          <w:p w14:paraId="77B99BC3" w14:textId="77777777"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Do you receive money from anywhere else?</w:t>
            </w:r>
          </w:p>
          <w:p w14:paraId="269989FE" w14:textId="77777777"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What bills do you have to pay?</w:t>
            </w:r>
          </w:p>
          <w:p w14:paraId="6B4F9C61" w14:textId="04371AF5" w:rsidR="001C2918"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What else do you spend your money on?</w:t>
            </w:r>
          </w:p>
          <w:p w14:paraId="5111CE64" w14:textId="77777777" w:rsidR="002D35BB" w:rsidRPr="002D35BB" w:rsidRDefault="002D35BB" w:rsidP="002D35BB">
            <w:pPr>
              <w:spacing w:line="276" w:lineRule="auto"/>
              <w:rPr>
                <w:rFonts w:ascii="Calibri" w:hAnsi="Calibri" w:cs="Calibri"/>
                <w:i/>
                <w:iCs/>
                <w:sz w:val="10"/>
                <w:szCs w:val="10"/>
              </w:rPr>
            </w:pPr>
          </w:p>
          <w:p w14:paraId="36E1015C" w14:textId="70FDF5B1" w:rsidR="000409D7" w:rsidRPr="000409D7" w:rsidRDefault="000409D7" w:rsidP="000409D7">
            <w:pPr>
              <w:spacing w:line="276" w:lineRule="auto"/>
              <w:rPr>
                <w:rFonts w:ascii="Calibri" w:hAnsi="Calibri" w:cs="Calibri"/>
                <w:b/>
                <w:bCs/>
                <w:sz w:val="22"/>
                <w:szCs w:val="22"/>
              </w:rPr>
            </w:pPr>
            <w:r w:rsidRPr="000409D7">
              <w:rPr>
                <w:rFonts w:ascii="Calibri" w:hAnsi="Calibri" w:cs="Calibri"/>
                <w:b/>
                <w:bCs/>
                <w:sz w:val="22"/>
                <w:szCs w:val="22"/>
              </w:rPr>
              <w:t>The importance of budgeting and financial planning:</w:t>
            </w:r>
          </w:p>
          <w:p w14:paraId="728D0AFA" w14:textId="77777777"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What are the most important things you have to pay for each week/month?</w:t>
            </w:r>
          </w:p>
          <w:p w14:paraId="27EAFC7A" w14:textId="77777777"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 xml:space="preserve">How do you make sure you have enough money to pay for those things? </w:t>
            </w:r>
          </w:p>
          <w:p w14:paraId="7CE49E45" w14:textId="77777777"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 xml:space="preserve">Does anyone help you decide how to spend your money? If so, what help do they provide? </w:t>
            </w:r>
          </w:p>
          <w:p w14:paraId="6998C7FB" w14:textId="77777777"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How do you pay your rent and bills (e.g. direct debit)?</w:t>
            </w:r>
          </w:p>
          <w:p w14:paraId="253CDF65" w14:textId="77777777"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 xml:space="preserve">Do you owe money? If so, who do you owe money to and roughly how much do you owe? </w:t>
            </w:r>
          </w:p>
          <w:p w14:paraId="2B52FF28" w14:textId="77777777"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Do you ever run out of money? If so, what happens?</w:t>
            </w:r>
          </w:p>
          <w:p w14:paraId="47BE8534" w14:textId="77777777"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What could happen if you spend all your money on a holiday and had no money left to pay your rent and bills?</w:t>
            </w:r>
          </w:p>
          <w:p w14:paraId="7308E83D" w14:textId="5F0C3661"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If you didn’t pay your rent</w:t>
            </w:r>
            <w:r w:rsidR="00D81D83">
              <w:rPr>
                <w:rFonts w:ascii="Calibri" w:hAnsi="Calibri" w:cs="Calibri"/>
                <w:i/>
                <w:iCs/>
                <w:sz w:val="22"/>
                <w:szCs w:val="22"/>
              </w:rPr>
              <w:t>,</w:t>
            </w:r>
            <w:r w:rsidRPr="00A55CA9">
              <w:rPr>
                <w:rFonts w:ascii="Calibri" w:hAnsi="Calibri" w:cs="Calibri"/>
                <w:i/>
                <w:iCs/>
                <w:sz w:val="22"/>
                <w:szCs w:val="22"/>
              </w:rPr>
              <w:t xml:space="preserve"> what could happen? </w:t>
            </w:r>
          </w:p>
          <w:p w14:paraId="37C26FE3" w14:textId="77777777"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If you didn’t pay for your bills, what could happen?</w:t>
            </w:r>
          </w:p>
          <w:p w14:paraId="394B1787" w14:textId="77777777"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If you didn’t pay for your care, what could happen?</w:t>
            </w:r>
          </w:p>
          <w:p w14:paraId="10D27B80" w14:textId="4662432A" w:rsidR="001C2918"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If you don’t pay the money that you owe, what could happen?</w:t>
            </w:r>
          </w:p>
          <w:p w14:paraId="42B784CA" w14:textId="77777777" w:rsidR="002D35BB" w:rsidRPr="002D35BB" w:rsidRDefault="002D35BB" w:rsidP="002D35BB">
            <w:pPr>
              <w:spacing w:line="276" w:lineRule="auto"/>
              <w:rPr>
                <w:rFonts w:ascii="Calibri" w:hAnsi="Calibri" w:cs="Calibri"/>
                <w:i/>
                <w:iCs/>
                <w:sz w:val="10"/>
                <w:szCs w:val="10"/>
              </w:rPr>
            </w:pPr>
          </w:p>
          <w:p w14:paraId="75D88EBA" w14:textId="57D98061" w:rsidR="001C2918" w:rsidRPr="000409D7" w:rsidRDefault="000409D7" w:rsidP="000409D7">
            <w:pPr>
              <w:spacing w:line="276" w:lineRule="auto"/>
              <w:rPr>
                <w:rFonts w:ascii="Calibri" w:hAnsi="Calibri" w:cs="Calibri"/>
                <w:b/>
                <w:bCs/>
                <w:sz w:val="22"/>
                <w:szCs w:val="22"/>
              </w:rPr>
            </w:pPr>
            <w:r w:rsidRPr="000409D7">
              <w:rPr>
                <w:rFonts w:ascii="Calibri" w:hAnsi="Calibri" w:cs="Calibri"/>
                <w:b/>
                <w:bCs/>
                <w:sz w:val="22"/>
                <w:szCs w:val="22"/>
              </w:rPr>
              <w:t>How to manage a bank account</w:t>
            </w:r>
            <w:r w:rsidR="001C2918" w:rsidRPr="000409D7">
              <w:rPr>
                <w:rFonts w:ascii="Calibri" w:hAnsi="Calibri" w:cs="Calibri"/>
                <w:b/>
                <w:bCs/>
                <w:sz w:val="22"/>
                <w:szCs w:val="22"/>
              </w:rPr>
              <w:t>:</w:t>
            </w:r>
          </w:p>
          <w:p w14:paraId="0FE85C60" w14:textId="77777777"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 xml:space="preserve">Do you have a bank/building society account? </w:t>
            </w:r>
          </w:p>
          <w:p w14:paraId="602C8A71" w14:textId="77777777"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Is it a joint account or a single account (explain the difference)?</w:t>
            </w:r>
          </w:p>
          <w:p w14:paraId="27C7FA67" w14:textId="77777777"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What is the name of your bank/building society?</w:t>
            </w:r>
          </w:p>
          <w:p w14:paraId="3DDE03BB" w14:textId="048F511F" w:rsidR="001C2918"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How do you get money from your bank/building society account?</w:t>
            </w:r>
          </w:p>
          <w:p w14:paraId="0927C8AA" w14:textId="2EF74E13" w:rsidR="00DB491D" w:rsidRPr="00A55CA9" w:rsidRDefault="00DB491D" w:rsidP="00A33BC9">
            <w:pPr>
              <w:pStyle w:val="ListParagraph"/>
              <w:numPr>
                <w:ilvl w:val="0"/>
                <w:numId w:val="28"/>
              </w:numPr>
              <w:spacing w:line="276" w:lineRule="auto"/>
              <w:rPr>
                <w:rFonts w:ascii="Calibri" w:hAnsi="Calibri" w:cs="Calibri"/>
                <w:i/>
                <w:iCs/>
                <w:sz w:val="22"/>
                <w:szCs w:val="22"/>
              </w:rPr>
            </w:pPr>
            <w:r>
              <w:rPr>
                <w:rFonts w:ascii="Calibri" w:hAnsi="Calibri" w:cs="Calibri"/>
                <w:i/>
                <w:iCs/>
                <w:sz w:val="22"/>
                <w:szCs w:val="22"/>
              </w:rPr>
              <w:t>Do you have any difficulties getting to the bank or communicating with the bank?</w:t>
            </w:r>
          </w:p>
          <w:p w14:paraId="0941ED43" w14:textId="77777777"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From your bank/building society statement, can you tell me how much money you have in your account?</w:t>
            </w:r>
          </w:p>
          <w:p w14:paraId="4137CC07" w14:textId="77777777"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From your bank/building society statement, can you tell me what money you have coming in and what money you have going out?</w:t>
            </w:r>
          </w:p>
          <w:p w14:paraId="149AF439" w14:textId="77777777"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What would you do if you thought money was missing from your account?</w:t>
            </w:r>
          </w:p>
          <w:p w14:paraId="1797F3B8" w14:textId="4DE10C2C" w:rsidR="001C2918" w:rsidRPr="002D35BB" w:rsidRDefault="001C2918" w:rsidP="00A33BC9">
            <w:pPr>
              <w:pStyle w:val="ListParagraph"/>
              <w:numPr>
                <w:ilvl w:val="0"/>
                <w:numId w:val="28"/>
              </w:numPr>
              <w:spacing w:line="276" w:lineRule="auto"/>
              <w:rPr>
                <w:rFonts w:ascii="Calibri" w:hAnsi="Calibri" w:cs="Calibri"/>
                <w:b/>
                <w:bCs/>
                <w:sz w:val="22"/>
                <w:szCs w:val="22"/>
              </w:rPr>
            </w:pPr>
            <w:r w:rsidRPr="00A55CA9">
              <w:rPr>
                <w:rFonts w:ascii="Calibri" w:hAnsi="Calibri" w:cs="Calibri"/>
                <w:i/>
                <w:iCs/>
                <w:sz w:val="22"/>
                <w:szCs w:val="22"/>
              </w:rPr>
              <w:t xml:space="preserve">Does anyone help you with your banking? </w:t>
            </w:r>
          </w:p>
          <w:p w14:paraId="4D9CE20E" w14:textId="77777777" w:rsidR="002D35BB" w:rsidRPr="002D35BB" w:rsidRDefault="002D35BB" w:rsidP="002D35BB">
            <w:pPr>
              <w:spacing w:line="276" w:lineRule="auto"/>
              <w:rPr>
                <w:rFonts w:ascii="Calibri" w:hAnsi="Calibri" w:cs="Calibri"/>
                <w:b/>
                <w:bCs/>
                <w:sz w:val="10"/>
                <w:szCs w:val="10"/>
              </w:rPr>
            </w:pPr>
          </w:p>
          <w:p w14:paraId="3B6D987C" w14:textId="2D61C736" w:rsidR="001C2918" w:rsidRPr="00A55CA9" w:rsidRDefault="001C2918" w:rsidP="001C2918">
            <w:pPr>
              <w:spacing w:line="276" w:lineRule="auto"/>
              <w:rPr>
                <w:rFonts w:ascii="Calibri" w:hAnsi="Calibri" w:cs="Calibri"/>
                <w:b/>
                <w:bCs/>
                <w:sz w:val="22"/>
                <w:szCs w:val="22"/>
              </w:rPr>
            </w:pPr>
            <w:r w:rsidRPr="00A55CA9">
              <w:rPr>
                <w:rFonts w:ascii="Calibri" w:hAnsi="Calibri" w:cs="Calibri"/>
                <w:b/>
                <w:bCs/>
                <w:sz w:val="22"/>
                <w:szCs w:val="22"/>
              </w:rPr>
              <w:t>How to use ATMs and debit cards</w:t>
            </w:r>
            <w:r w:rsidR="00E80F31">
              <w:rPr>
                <w:rFonts w:ascii="Calibri" w:hAnsi="Calibri" w:cs="Calibri"/>
                <w:b/>
                <w:bCs/>
                <w:sz w:val="22"/>
                <w:szCs w:val="22"/>
              </w:rPr>
              <w:t>:</w:t>
            </w:r>
          </w:p>
          <w:p w14:paraId="767FA130" w14:textId="7B92C4A0" w:rsidR="001C2918" w:rsidRPr="00A55CA9" w:rsidRDefault="00E80F31" w:rsidP="00A33BC9">
            <w:pPr>
              <w:pStyle w:val="ListParagraph"/>
              <w:numPr>
                <w:ilvl w:val="0"/>
                <w:numId w:val="28"/>
              </w:numPr>
              <w:spacing w:line="276" w:lineRule="auto"/>
              <w:rPr>
                <w:rFonts w:ascii="Calibri" w:hAnsi="Calibri" w:cs="Calibri"/>
                <w:i/>
                <w:iCs/>
                <w:sz w:val="22"/>
                <w:szCs w:val="22"/>
              </w:rPr>
            </w:pPr>
            <w:r>
              <w:rPr>
                <w:rFonts w:ascii="Calibri" w:hAnsi="Calibri" w:cs="Calibri"/>
                <w:i/>
                <w:iCs/>
                <w:sz w:val="22"/>
                <w:szCs w:val="22"/>
              </w:rPr>
              <w:t>Do you have a cash card/debit card</w:t>
            </w:r>
            <w:r w:rsidR="001C2918" w:rsidRPr="00A55CA9">
              <w:rPr>
                <w:rFonts w:ascii="Calibri" w:hAnsi="Calibri" w:cs="Calibri"/>
                <w:i/>
                <w:iCs/>
                <w:sz w:val="22"/>
                <w:szCs w:val="22"/>
              </w:rPr>
              <w:t xml:space="preserve">? What </w:t>
            </w:r>
            <w:r>
              <w:rPr>
                <w:rFonts w:ascii="Calibri" w:hAnsi="Calibri" w:cs="Calibri"/>
                <w:i/>
                <w:iCs/>
                <w:sz w:val="22"/>
                <w:szCs w:val="22"/>
              </w:rPr>
              <w:t>is it for</w:t>
            </w:r>
            <w:r w:rsidR="001C2918" w:rsidRPr="00A55CA9">
              <w:rPr>
                <w:rFonts w:ascii="Calibri" w:hAnsi="Calibri" w:cs="Calibri"/>
                <w:i/>
                <w:iCs/>
                <w:sz w:val="22"/>
                <w:szCs w:val="22"/>
              </w:rPr>
              <w:t>?</w:t>
            </w:r>
          </w:p>
          <w:p w14:paraId="1957ADF8" w14:textId="1ED7E3B5" w:rsidR="001C2918"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What is the PIN for (don’t ask the adult to divulge their PIN)?</w:t>
            </w:r>
          </w:p>
          <w:p w14:paraId="07D3BB47" w14:textId="497ABC1C" w:rsidR="00DB491D" w:rsidRPr="00A55CA9" w:rsidRDefault="00DB491D" w:rsidP="00A33BC9">
            <w:pPr>
              <w:pStyle w:val="ListParagraph"/>
              <w:numPr>
                <w:ilvl w:val="0"/>
                <w:numId w:val="28"/>
              </w:numPr>
              <w:spacing w:line="276" w:lineRule="auto"/>
              <w:rPr>
                <w:rFonts w:ascii="Calibri" w:hAnsi="Calibri" w:cs="Calibri"/>
                <w:i/>
                <w:iCs/>
                <w:sz w:val="22"/>
                <w:szCs w:val="22"/>
              </w:rPr>
            </w:pPr>
            <w:r>
              <w:rPr>
                <w:rFonts w:ascii="Calibri" w:hAnsi="Calibri" w:cs="Calibri"/>
                <w:i/>
                <w:iCs/>
                <w:sz w:val="22"/>
                <w:szCs w:val="22"/>
              </w:rPr>
              <w:t xml:space="preserve">Can you remember your PIN </w:t>
            </w:r>
            <w:r w:rsidRPr="00A55CA9">
              <w:rPr>
                <w:rFonts w:ascii="Calibri" w:hAnsi="Calibri" w:cs="Calibri"/>
                <w:i/>
                <w:iCs/>
                <w:sz w:val="22"/>
                <w:szCs w:val="22"/>
              </w:rPr>
              <w:t xml:space="preserve">(don’t ask </w:t>
            </w:r>
            <w:r>
              <w:rPr>
                <w:rFonts w:ascii="Calibri" w:hAnsi="Calibri" w:cs="Calibri"/>
                <w:i/>
                <w:iCs/>
                <w:sz w:val="22"/>
                <w:szCs w:val="22"/>
              </w:rPr>
              <w:t>them what it is</w:t>
            </w:r>
            <w:r w:rsidRPr="00A55CA9">
              <w:rPr>
                <w:rFonts w:ascii="Calibri" w:hAnsi="Calibri" w:cs="Calibri"/>
                <w:i/>
                <w:iCs/>
                <w:sz w:val="22"/>
                <w:szCs w:val="22"/>
              </w:rPr>
              <w:t>)?</w:t>
            </w:r>
          </w:p>
          <w:p w14:paraId="53B9BC90" w14:textId="77777777"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Does anyone else know your PIN? If so who?</w:t>
            </w:r>
          </w:p>
          <w:p w14:paraId="1783C65E" w14:textId="0F7D3547" w:rsidR="001C2918" w:rsidRPr="00DB491D" w:rsidRDefault="001C2918" w:rsidP="00A33BC9">
            <w:pPr>
              <w:pStyle w:val="ListParagraph"/>
              <w:numPr>
                <w:ilvl w:val="0"/>
                <w:numId w:val="28"/>
              </w:numPr>
              <w:spacing w:line="276" w:lineRule="auto"/>
              <w:rPr>
                <w:rFonts w:ascii="Calibri" w:hAnsi="Calibri" w:cs="Calibri"/>
                <w:sz w:val="22"/>
                <w:szCs w:val="22"/>
              </w:rPr>
            </w:pPr>
            <w:r w:rsidRPr="00A55CA9">
              <w:rPr>
                <w:rFonts w:ascii="Calibri" w:hAnsi="Calibri" w:cs="Calibri"/>
                <w:i/>
                <w:iCs/>
                <w:sz w:val="22"/>
                <w:szCs w:val="22"/>
              </w:rPr>
              <w:t xml:space="preserve">Is it a good idea to share your PIN with a stranger? </w:t>
            </w:r>
          </w:p>
          <w:p w14:paraId="51718CBB" w14:textId="09E03B8F" w:rsidR="00DB491D" w:rsidRDefault="00DB491D" w:rsidP="00A33BC9">
            <w:pPr>
              <w:pStyle w:val="ListParagraph"/>
              <w:numPr>
                <w:ilvl w:val="0"/>
                <w:numId w:val="28"/>
              </w:numPr>
              <w:spacing w:line="276" w:lineRule="auto"/>
              <w:rPr>
                <w:rFonts w:ascii="Calibri" w:hAnsi="Calibri" w:cs="Calibri"/>
                <w:sz w:val="22"/>
                <w:szCs w:val="22"/>
              </w:rPr>
            </w:pPr>
            <w:r>
              <w:rPr>
                <w:rFonts w:ascii="Calibri" w:hAnsi="Calibri" w:cs="Calibri"/>
                <w:sz w:val="22"/>
                <w:szCs w:val="22"/>
              </w:rPr>
              <w:t xml:space="preserve">Does anything prevent you from using your </w:t>
            </w:r>
            <w:r w:rsidR="00875552">
              <w:rPr>
                <w:rFonts w:ascii="Calibri" w:hAnsi="Calibri" w:cs="Calibri"/>
                <w:sz w:val="22"/>
                <w:szCs w:val="22"/>
              </w:rPr>
              <w:t>cash card/</w:t>
            </w:r>
            <w:r>
              <w:rPr>
                <w:rFonts w:ascii="Calibri" w:hAnsi="Calibri" w:cs="Calibri"/>
                <w:sz w:val="22"/>
                <w:szCs w:val="22"/>
              </w:rPr>
              <w:t>debit card?</w:t>
            </w:r>
          </w:p>
          <w:p w14:paraId="7A598DF3" w14:textId="77777777" w:rsidR="002D35BB" w:rsidRPr="002D35BB" w:rsidRDefault="002D35BB" w:rsidP="002D35BB">
            <w:pPr>
              <w:spacing w:line="276" w:lineRule="auto"/>
              <w:rPr>
                <w:rFonts w:ascii="Calibri" w:hAnsi="Calibri" w:cs="Calibri"/>
                <w:sz w:val="10"/>
                <w:szCs w:val="10"/>
              </w:rPr>
            </w:pPr>
          </w:p>
          <w:p w14:paraId="1FEADB6D" w14:textId="0FF0B73F" w:rsidR="000409D7" w:rsidRPr="004D23A7" w:rsidRDefault="000409D7" w:rsidP="000409D7">
            <w:pPr>
              <w:spacing w:line="276" w:lineRule="auto"/>
              <w:rPr>
                <w:rFonts w:ascii="Calibri" w:hAnsi="Calibri" w:cs="Calibri"/>
                <w:b/>
                <w:bCs/>
                <w:sz w:val="22"/>
                <w:szCs w:val="22"/>
              </w:rPr>
            </w:pPr>
            <w:r w:rsidRPr="004D23A7">
              <w:rPr>
                <w:rFonts w:ascii="Calibri" w:hAnsi="Calibri" w:cs="Calibri"/>
                <w:b/>
                <w:bCs/>
                <w:sz w:val="22"/>
                <w:szCs w:val="22"/>
              </w:rPr>
              <w:t>How to manage investments, savings and shares:</w:t>
            </w:r>
          </w:p>
          <w:p w14:paraId="699EECAC" w14:textId="77777777"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Roughly how much do you have in savings?</w:t>
            </w:r>
          </w:p>
          <w:p w14:paraId="10EA676A" w14:textId="6A60FD5B"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Which bank or building society are your savings held</w:t>
            </w:r>
            <w:r w:rsidR="00D81D83">
              <w:rPr>
                <w:rFonts w:ascii="Calibri" w:hAnsi="Calibri" w:cs="Calibri"/>
                <w:i/>
                <w:iCs/>
                <w:sz w:val="22"/>
                <w:szCs w:val="22"/>
              </w:rPr>
              <w:t xml:space="preserve"> in</w:t>
            </w:r>
            <w:r w:rsidRPr="00A55CA9">
              <w:rPr>
                <w:rFonts w:ascii="Calibri" w:hAnsi="Calibri" w:cs="Calibri"/>
                <w:i/>
                <w:iCs/>
                <w:sz w:val="22"/>
                <w:szCs w:val="22"/>
              </w:rPr>
              <w:t>?</w:t>
            </w:r>
          </w:p>
          <w:p w14:paraId="0B8E1AB0" w14:textId="3BC0A143"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 xml:space="preserve">Do you have any ISAs/shares? If so, roughly </w:t>
            </w:r>
            <w:r w:rsidR="00D81D83">
              <w:rPr>
                <w:rFonts w:ascii="Calibri" w:hAnsi="Calibri" w:cs="Calibri"/>
                <w:i/>
                <w:iCs/>
                <w:sz w:val="22"/>
                <w:szCs w:val="22"/>
              </w:rPr>
              <w:t xml:space="preserve">how </w:t>
            </w:r>
            <w:r w:rsidRPr="00A55CA9">
              <w:rPr>
                <w:rFonts w:ascii="Calibri" w:hAnsi="Calibri" w:cs="Calibri"/>
                <w:i/>
                <w:iCs/>
                <w:sz w:val="22"/>
                <w:szCs w:val="22"/>
              </w:rPr>
              <w:t xml:space="preserve">much are they worth? </w:t>
            </w:r>
          </w:p>
          <w:p w14:paraId="65A288DC" w14:textId="77777777"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How do you check how your ISAs/shares are performing?</w:t>
            </w:r>
          </w:p>
          <w:p w14:paraId="27693F3C" w14:textId="77777777"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If you wanted to sell your shares what would you do?</w:t>
            </w:r>
          </w:p>
          <w:p w14:paraId="0BAB9613" w14:textId="77777777" w:rsidR="001C2918" w:rsidRPr="00A55CA9" w:rsidRDefault="001C2918" w:rsidP="00A33BC9">
            <w:pPr>
              <w:pStyle w:val="ListParagraph"/>
              <w:numPr>
                <w:ilvl w:val="0"/>
                <w:numId w:val="28"/>
              </w:numPr>
              <w:spacing w:line="276" w:lineRule="auto"/>
              <w:rPr>
                <w:rFonts w:ascii="Calibri" w:hAnsi="Calibri" w:cs="Calibri"/>
                <w:i/>
                <w:iCs/>
                <w:sz w:val="22"/>
                <w:szCs w:val="22"/>
              </w:rPr>
            </w:pPr>
            <w:r w:rsidRPr="00A55CA9">
              <w:rPr>
                <w:rFonts w:ascii="Calibri" w:hAnsi="Calibri" w:cs="Calibri"/>
                <w:i/>
                <w:iCs/>
                <w:sz w:val="22"/>
                <w:szCs w:val="22"/>
              </w:rPr>
              <w:t xml:space="preserve">Does anyone help you to manage your savings/ISAs/shares? If so, what help do they provide? </w:t>
            </w:r>
          </w:p>
          <w:p w14:paraId="50A90FFF" w14:textId="5B39511C" w:rsidR="001C2918" w:rsidRPr="002B675E" w:rsidRDefault="002B675E" w:rsidP="001C2918">
            <w:pPr>
              <w:rPr>
                <w:rFonts w:ascii="Calibri" w:hAnsi="Calibri" w:cs="Calibri"/>
                <w:b/>
                <w:bCs/>
                <w:sz w:val="22"/>
                <w:szCs w:val="22"/>
              </w:rPr>
            </w:pPr>
            <w:r w:rsidRPr="002B675E">
              <w:rPr>
                <w:rFonts w:ascii="Calibri" w:hAnsi="Calibri" w:cs="Calibri"/>
                <w:b/>
                <w:bCs/>
                <w:sz w:val="22"/>
                <w:szCs w:val="22"/>
              </w:rPr>
              <w:t>The different mechanisms that could be implemented to support the adult to manage their financial affairs</w:t>
            </w:r>
            <w:r w:rsidR="001C2918" w:rsidRPr="002B675E">
              <w:rPr>
                <w:rFonts w:ascii="Calibri" w:hAnsi="Calibri" w:cs="Calibri"/>
                <w:b/>
                <w:bCs/>
                <w:sz w:val="22"/>
                <w:szCs w:val="22"/>
              </w:rPr>
              <w:t>:</w:t>
            </w:r>
          </w:p>
          <w:p w14:paraId="693755D5" w14:textId="20A716FA" w:rsidR="001C2918" w:rsidRPr="00412C89" w:rsidRDefault="001C2918" w:rsidP="00A33BC9">
            <w:pPr>
              <w:pStyle w:val="ListParagraph"/>
              <w:numPr>
                <w:ilvl w:val="0"/>
                <w:numId w:val="28"/>
              </w:numPr>
              <w:spacing w:line="276" w:lineRule="auto"/>
              <w:rPr>
                <w:rFonts w:ascii="Calibri" w:hAnsi="Calibri" w:cs="Calibri"/>
                <w:i/>
                <w:iCs/>
                <w:color w:val="000000" w:themeColor="text1"/>
                <w:sz w:val="22"/>
                <w:szCs w:val="22"/>
              </w:rPr>
            </w:pPr>
            <w:r w:rsidRPr="00412C89">
              <w:rPr>
                <w:rFonts w:ascii="Calibri" w:hAnsi="Calibri" w:cs="Calibri"/>
                <w:i/>
                <w:iCs/>
                <w:color w:val="000000" w:themeColor="text1"/>
                <w:sz w:val="22"/>
                <w:szCs w:val="22"/>
              </w:rPr>
              <w:t xml:space="preserve">How could X (e.g. support worker) support you </w:t>
            </w:r>
            <w:r w:rsidR="00D81D83">
              <w:rPr>
                <w:rFonts w:ascii="Calibri" w:hAnsi="Calibri" w:cs="Calibri"/>
                <w:i/>
                <w:iCs/>
                <w:color w:val="000000" w:themeColor="text1"/>
                <w:sz w:val="22"/>
                <w:szCs w:val="22"/>
              </w:rPr>
              <w:t xml:space="preserve">to </w:t>
            </w:r>
            <w:r w:rsidR="007D2039" w:rsidRPr="00412C89">
              <w:rPr>
                <w:rFonts w:ascii="Calibri" w:hAnsi="Calibri" w:cs="Calibri"/>
                <w:i/>
                <w:iCs/>
                <w:color w:val="000000" w:themeColor="text1"/>
                <w:sz w:val="22"/>
                <w:szCs w:val="22"/>
              </w:rPr>
              <w:t>manage</w:t>
            </w:r>
            <w:r w:rsidRPr="00412C89">
              <w:rPr>
                <w:rFonts w:ascii="Calibri" w:hAnsi="Calibri" w:cs="Calibri"/>
                <w:i/>
                <w:iCs/>
                <w:color w:val="000000" w:themeColor="text1"/>
                <w:sz w:val="22"/>
                <w:szCs w:val="22"/>
              </w:rPr>
              <w:t xml:space="preserve"> you</w:t>
            </w:r>
            <w:r w:rsidR="007D2039" w:rsidRPr="00412C89">
              <w:rPr>
                <w:rFonts w:ascii="Calibri" w:hAnsi="Calibri" w:cs="Calibri"/>
                <w:i/>
                <w:iCs/>
                <w:color w:val="000000" w:themeColor="text1"/>
                <w:sz w:val="22"/>
                <w:szCs w:val="22"/>
              </w:rPr>
              <w:t>r money</w:t>
            </w:r>
            <w:r w:rsidRPr="00412C89">
              <w:rPr>
                <w:rFonts w:ascii="Calibri" w:hAnsi="Calibri" w:cs="Calibri"/>
                <w:i/>
                <w:iCs/>
                <w:color w:val="000000" w:themeColor="text1"/>
                <w:sz w:val="22"/>
                <w:szCs w:val="22"/>
              </w:rPr>
              <w:t>?</w:t>
            </w:r>
          </w:p>
          <w:p w14:paraId="0AE4B6B5" w14:textId="72742358" w:rsidR="001C2918" w:rsidRPr="00412C89" w:rsidRDefault="001C2918" w:rsidP="00A33BC9">
            <w:pPr>
              <w:pStyle w:val="ListParagraph"/>
              <w:numPr>
                <w:ilvl w:val="0"/>
                <w:numId w:val="28"/>
              </w:numPr>
              <w:spacing w:line="276" w:lineRule="auto"/>
              <w:rPr>
                <w:rFonts w:ascii="Calibri" w:hAnsi="Calibri" w:cs="Calibri"/>
                <w:i/>
                <w:iCs/>
                <w:color w:val="000000" w:themeColor="text1"/>
                <w:sz w:val="22"/>
                <w:szCs w:val="22"/>
              </w:rPr>
            </w:pPr>
            <w:r w:rsidRPr="00412C89">
              <w:rPr>
                <w:rFonts w:ascii="Calibri" w:hAnsi="Calibri" w:cs="Calibri"/>
                <w:i/>
                <w:iCs/>
                <w:color w:val="000000" w:themeColor="text1"/>
                <w:sz w:val="22"/>
                <w:szCs w:val="22"/>
              </w:rPr>
              <w:t xml:space="preserve">What is an attorney for property </w:t>
            </w:r>
            <w:r w:rsidR="002D35BB">
              <w:rPr>
                <w:rFonts w:ascii="Calibri" w:hAnsi="Calibri" w:cs="Calibri"/>
                <w:i/>
                <w:iCs/>
                <w:color w:val="000000" w:themeColor="text1"/>
                <w:sz w:val="22"/>
                <w:szCs w:val="22"/>
              </w:rPr>
              <w:t>and</w:t>
            </w:r>
            <w:r w:rsidRPr="00412C89">
              <w:rPr>
                <w:rFonts w:ascii="Calibri" w:hAnsi="Calibri" w:cs="Calibri"/>
                <w:i/>
                <w:iCs/>
                <w:color w:val="000000" w:themeColor="text1"/>
                <w:sz w:val="22"/>
                <w:szCs w:val="22"/>
              </w:rPr>
              <w:t xml:space="preserve"> financial affairs?</w:t>
            </w:r>
          </w:p>
          <w:p w14:paraId="657A67C0" w14:textId="45C6C39A" w:rsidR="00A33BC9" w:rsidRDefault="001C2918" w:rsidP="00C274FE">
            <w:pPr>
              <w:pStyle w:val="ListParagraph"/>
              <w:numPr>
                <w:ilvl w:val="0"/>
                <w:numId w:val="28"/>
              </w:numPr>
              <w:spacing w:line="276" w:lineRule="auto"/>
              <w:rPr>
                <w:rFonts w:ascii="Calibri" w:hAnsi="Calibri" w:cs="Calibri"/>
                <w:i/>
                <w:iCs/>
                <w:color w:val="000000" w:themeColor="text1"/>
                <w:sz w:val="22"/>
                <w:szCs w:val="22"/>
              </w:rPr>
            </w:pPr>
            <w:r w:rsidRPr="00412C89">
              <w:rPr>
                <w:rFonts w:ascii="Calibri" w:hAnsi="Calibri" w:cs="Calibri"/>
                <w:i/>
                <w:iCs/>
                <w:color w:val="000000" w:themeColor="text1"/>
                <w:sz w:val="22"/>
                <w:szCs w:val="22"/>
              </w:rPr>
              <w:t xml:space="preserve">How could an attorney help you </w:t>
            </w:r>
            <w:r w:rsidR="007D2039" w:rsidRPr="00412C89">
              <w:rPr>
                <w:rFonts w:ascii="Calibri" w:hAnsi="Calibri" w:cs="Calibri"/>
                <w:i/>
                <w:iCs/>
                <w:color w:val="000000" w:themeColor="text1"/>
                <w:sz w:val="22"/>
                <w:szCs w:val="22"/>
              </w:rPr>
              <w:t>manage</w:t>
            </w:r>
            <w:r w:rsidRPr="00412C89">
              <w:rPr>
                <w:rFonts w:ascii="Calibri" w:hAnsi="Calibri" w:cs="Calibri"/>
                <w:i/>
                <w:iCs/>
                <w:color w:val="000000" w:themeColor="text1"/>
                <w:sz w:val="22"/>
                <w:szCs w:val="22"/>
              </w:rPr>
              <w:t xml:space="preserve"> </w:t>
            </w:r>
            <w:r w:rsidR="005A2B04" w:rsidRPr="00412C89">
              <w:rPr>
                <w:rFonts w:ascii="Calibri" w:hAnsi="Calibri" w:cs="Calibri"/>
                <w:i/>
                <w:iCs/>
                <w:color w:val="000000" w:themeColor="text1"/>
                <w:sz w:val="22"/>
                <w:szCs w:val="22"/>
              </w:rPr>
              <w:t>your money</w:t>
            </w:r>
            <w:r w:rsidRPr="00412C89">
              <w:rPr>
                <w:rFonts w:ascii="Calibri" w:hAnsi="Calibri" w:cs="Calibri"/>
                <w:i/>
                <w:iCs/>
                <w:color w:val="000000" w:themeColor="text1"/>
                <w:sz w:val="22"/>
                <w:szCs w:val="22"/>
              </w:rPr>
              <w:t>?</w:t>
            </w:r>
          </w:p>
          <w:p w14:paraId="48617844" w14:textId="7B8F08C1" w:rsidR="00E4085F" w:rsidRPr="002450F3" w:rsidRDefault="003668C9" w:rsidP="00E4085F">
            <w:pPr>
              <w:pStyle w:val="ListParagraph"/>
              <w:numPr>
                <w:ilvl w:val="0"/>
                <w:numId w:val="28"/>
              </w:numPr>
              <w:spacing w:line="276" w:lineRule="auto"/>
              <w:rPr>
                <w:rFonts w:ascii="Calibri" w:hAnsi="Calibri" w:cs="Calibri"/>
                <w:i/>
                <w:iCs/>
                <w:color w:val="000000" w:themeColor="text1"/>
                <w:sz w:val="22"/>
                <w:szCs w:val="22"/>
              </w:rPr>
            </w:pPr>
            <w:r w:rsidRPr="002450F3">
              <w:rPr>
                <w:rFonts w:ascii="Calibri" w:hAnsi="Calibri" w:cs="Calibri"/>
                <w:i/>
                <w:iCs/>
                <w:color w:val="000000" w:themeColor="text1"/>
                <w:sz w:val="22"/>
                <w:szCs w:val="22"/>
              </w:rPr>
              <w:t xml:space="preserve">If you gave X (name </w:t>
            </w:r>
            <w:r w:rsidR="002450F3">
              <w:rPr>
                <w:rFonts w:ascii="Calibri" w:hAnsi="Calibri" w:cs="Calibri"/>
                <w:i/>
                <w:iCs/>
                <w:color w:val="000000" w:themeColor="text1"/>
                <w:sz w:val="22"/>
                <w:szCs w:val="22"/>
              </w:rPr>
              <w:t>potential candidate</w:t>
            </w:r>
            <w:r w:rsidRPr="002450F3">
              <w:rPr>
                <w:rFonts w:ascii="Calibri" w:hAnsi="Calibri" w:cs="Calibri"/>
                <w:i/>
                <w:iCs/>
                <w:color w:val="000000" w:themeColor="text1"/>
                <w:sz w:val="22"/>
                <w:szCs w:val="22"/>
              </w:rPr>
              <w:t>) power of attorney for your property and financial affairs, what would they be allowed to do/what would their role be?</w:t>
            </w:r>
          </w:p>
          <w:p w14:paraId="51B5A59F" w14:textId="77777777" w:rsidR="001C2918" w:rsidRPr="00A55CA9" w:rsidRDefault="001C2918" w:rsidP="001C2918">
            <w:pPr>
              <w:spacing w:line="276" w:lineRule="auto"/>
              <w:rPr>
                <w:rFonts w:ascii="Calibri" w:hAnsi="Calibri" w:cs="Calibri"/>
                <w:b/>
                <w:bCs/>
                <w:color w:val="000000" w:themeColor="text1"/>
                <w:sz w:val="22"/>
                <w:szCs w:val="22"/>
              </w:rPr>
            </w:pPr>
            <w:r w:rsidRPr="00A55CA9">
              <w:rPr>
                <w:rFonts w:ascii="Calibri" w:hAnsi="Calibri" w:cs="Calibri"/>
                <w:b/>
                <w:bCs/>
                <w:color w:val="000000" w:themeColor="text1"/>
                <w:sz w:val="22"/>
                <w:szCs w:val="22"/>
              </w:rPr>
              <w:t>In cases of financial abuse, potential questions may include:</w:t>
            </w:r>
          </w:p>
          <w:p w14:paraId="409FA605" w14:textId="77777777" w:rsidR="001C2918" w:rsidRPr="00A33BC9" w:rsidRDefault="001C2918" w:rsidP="00A33BC9">
            <w:pPr>
              <w:pStyle w:val="ListParagraph"/>
              <w:numPr>
                <w:ilvl w:val="0"/>
                <w:numId w:val="28"/>
              </w:numPr>
              <w:spacing w:line="276" w:lineRule="auto"/>
              <w:rPr>
                <w:rFonts w:ascii="Calibri" w:hAnsi="Calibri" w:cs="Calibri"/>
                <w:i/>
                <w:iCs/>
                <w:color w:val="000000" w:themeColor="text1"/>
                <w:sz w:val="22"/>
                <w:szCs w:val="22"/>
              </w:rPr>
            </w:pPr>
            <w:r w:rsidRPr="00A33BC9">
              <w:rPr>
                <w:rFonts w:ascii="Calibri" w:hAnsi="Calibri" w:cs="Calibri"/>
                <w:i/>
                <w:iCs/>
                <w:color w:val="000000" w:themeColor="text1"/>
                <w:sz w:val="22"/>
                <w:szCs w:val="22"/>
              </w:rPr>
              <w:t>Financial abuse includes theft/fraud/exploitation/the misuse of money. Have any of these things ever happened to you? What happened?</w:t>
            </w:r>
          </w:p>
          <w:p w14:paraId="47B0DED0" w14:textId="77777777" w:rsidR="001C2918" w:rsidRPr="00A33BC9" w:rsidRDefault="001C2918" w:rsidP="00A33BC9">
            <w:pPr>
              <w:pStyle w:val="ListParagraph"/>
              <w:numPr>
                <w:ilvl w:val="0"/>
                <w:numId w:val="28"/>
              </w:numPr>
              <w:spacing w:line="276" w:lineRule="auto"/>
              <w:rPr>
                <w:rFonts w:ascii="Calibri" w:hAnsi="Calibri" w:cs="Calibri"/>
                <w:i/>
                <w:iCs/>
                <w:color w:val="000000" w:themeColor="text1"/>
                <w:sz w:val="22"/>
                <w:szCs w:val="22"/>
              </w:rPr>
            </w:pPr>
            <w:r w:rsidRPr="00A33BC9">
              <w:rPr>
                <w:rFonts w:ascii="Calibri" w:hAnsi="Calibri" w:cs="Calibri"/>
                <w:i/>
                <w:iCs/>
                <w:color w:val="000000" w:themeColor="text1"/>
                <w:sz w:val="22"/>
                <w:szCs w:val="22"/>
              </w:rPr>
              <w:t>Has anyone ever stolen money from you? Who stole from you? How much did they steal? How many times did it happen?</w:t>
            </w:r>
          </w:p>
          <w:p w14:paraId="6760B8F6" w14:textId="77777777" w:rsidR="001C2918" w:rsidRPr="00A33BC9" w:rsidRDefault="001C2918" w:rsidP="00A33BC9">
            <w:pPr>
              <w:pStyle w:val="ListParagraph"/>
              <w:numPr>
                <w:ilvl w:val="0"/>
                <w:numId w:val="28"/>
              </w:numPr>
              <w:spacing w:line="276" w:lineRule="auto"/>
              <w:rPr>
                <w:rFonts w:ascii="Calibri" w:hAnsi="Calibri" w:cs="Calibri"/>
                <w:i/>
                <w:iCs/>
                <w:color w:val="000000" w:themeColor="text1"/>
                <w:sz w:val="22"/>
                <w:szCs w:val="22"/>
              </w:rPr>
            </w:pPr>
            <w:r w:rsidRPr="00A33BC9">
              <w:rPr>
                <w:rFonts w:ascii="Calibri" w:hAnsi="Calibri" w:cs="Calibri"/>
                <w:i/>
                <w:iCs/>
                <w:color w:val="000000" w:themeColor="text1"/>
                <w:sz w:val="22"/>
                <w:szCs w:val="22"/>
              </w:rPr>
              <w:t>Have you even been forced to give money to someone when you didn’t want to? Who forced you? How much did you give them? How many times did it happen?</w:t>
            </w:r>
          </w:p>
          <w:p w14:paraId="04A4A8B0" w14:textId="77777777" w:rsidR="001C2918" w:rsidRPr="00A33BC9" w:rsidRDefault="001C2918" w:rsidP="00A33BC9">
            <w:pPr>
              <w:pStyle w:val="ListParagraph"/>
              <w:numPr>
                <w:ilvl w:val="0"/>
                <w:numId w:val="28"/>
              </w:numPr>
              <w:spacing w:line="276" w:lineRule="auto"/>
              <w:rPr>
                <w:rFonts w:ascii="Calibri" w:hAnsi="Calibri" w:cs="Calibri"/>
                <w:i/>
                <w:iCs/>
                <w:color w:val="000000" w:themeColor="text1"/>
                <w:sz w:val="22"/>
                <w:szCs w:val="22"/>
              </w:rPr>
            </w:pPr>
            <w:r w:rsidRPr="00A33BC9">
              <w:rPr>
                <w:rFonts w:ascii="Calibri" w:hAnsi="Calibri" w:cs="Calibri"/>
                <w:i/>
                <w:iCs/>
                <w:color w:val="000000" w:themeColor="text1"/>
                <w:sz w:val="22"/>
                <w:szCs w:val="22"/>
              </w:rPr>
              <w:t xml:space="preserve">Have you ever been tricked/pressured into buying something that you didn’t need? Who tricked you? What happened? </w:t>
            </w:r>
          </w:p>
          <w:p w14:paraId="3BE809F5" w14:textId="77777777" w:rsidR="001C2918" w:rsidRPr="005A2B04" w:rsidRDefault="001C2918" w:rsidP="00A33BC9">
            <w:pPr>
              <w:pStyle w:val="ListParagraph"/>
              <w:numPr>
                <w:ilvl w:val="0"/>
                <w:numId w:val="28"/>
              </w:numPr>
              <w:spacing w:line="276" w:lineRule="auto"/>
              <w:rPr>
                <w:rFonts w:ascii="Calibri" w:hAnsi="Calibri" w:cs="Calibri"/>
                <w:i/>
                <w:iCs/>
                <w:color w:val="000000" w:themeColor="text1"/>
                <w:sz w:val="22"/>
                <w:szCs w:val="22"/>
              </w:rPr>
            </w:pPr>
            <w:r w:rsidRPr="005A2B04">
              <w:rPr>
                <w:rFonts w:ascii="Calibri" w:hAnsi="Calibri" w:cs="Calibri"/>
                <w:i/>
                <w:iCs/>
                <w:color w:val="000000" w:themeColor="text1"/>
                <w:sz w:val="22"/>
                <w:szCs w:val="22"/>
              </w:rPr>
              <w:t xml:space="preserve">Do you have to give money to X whenever they ask for it? </w:t>
            </w:r>
          </w:p>
          <w:p w14:paraId="4FD2C150" w14:textId="73F9DD09" w:rsidR="001C2918" w:rsidRPr="005A2B04" w:rsidRDefault="001C2918" w:rsidP="00A33BC9">
            <w:pPr>
              <w:pStyle w:val="ListParagraph"/>
              <w:numPr>
                <w:ilvl w:val="0"/>
                <w:numId w:val="28"/>
              </w:numPr>
              <w:spacing w:line="276" w:lineRule="auto"/>
              <w:rPr>
                <w:rFonts w:ascii="Calibri" w:hAnsi="Calibri" w:cs="Calibri"/>
                <w:i/>
                <w:iCs/>
                <w:color w:val="000000" w:themeColor="text1"/>
                <w:sz w:val="22"/>
                <w:szCs w:val="22"/>
              </w:rPr>
            </w:pPr>
            <w:r w:rsidRPr="005A2B04">
              <w:rPr>
                <w:rFonts w:ascii="Calibri" w:hAnsi="Calibri" w:cs="Calibri"/>
                <w:i/>
                <w:iCs/>
                <w:color w:val="000000" w:themeColor="text1"/>
                <w:sz w:val="22"/>
                <w:szCs w:val="22"/>
              </w:rPr>
              <w:t>Are you allowed to say no if X asks you for money?</w:t>
            </w:r>
          </w:p>
          <w:p w14:paraId="3818747D" w14:textId="12BB5869" w:rsidR="00A33BC9" w:rsidRPr="00412C89" w:rsidRDefault="00A33BC9" w:rsidP="00A33BC9">
            <w:pPr>
              <w:pStyle w:val="ListParagraph"/>
              <w:numPr>
                <w:ilvl w:val="0"/>
                <w:numId w:val="28"/>
              </w:numPr>
              <w:spacing w:line="276" w:lineRule="auto"/>
              <w:rPr>
                <w:rFonts w:ascii="Calibri" w:hAnsi="Calibri" w:cs="Calibri"/>
                <w:i/>
                <w:iCs/>
                <w:color w:val="000000" w:themeColor="text1"/>
                <w:sz w:val="22"/>
                <w:szCs w:val="22"/>
              </w:rPr>
            </w:pPr>
            <w:r w:rsidRPr="00412C89">
              <w:rPr>
                <w:rFonts w:ascii="Calibri" w:hAnsi="Calibri" w:cs="Calibri"/>
                <w:i/>
                <w:iCs/>
                <w:color w:val="000000" w:themeColor="text1"/>
                <w:sz w:val="22"/>
                <w:szCs w:val="22"/>
              </w:rPr>
              <w:t>How could X (e.g. support worker) help prevent further incidents of financial abuse?</w:t>
            </w:r>
          </w:p>
          <w:p w14:paraId="3789D591" w14:textId="5C0288B9" w:rsidR="00BA7FE1" w:rsidRDefault="001C2918" w:rsidP="00770CB8">
            <w:pPr>
              <w:pStyle w:val="ListParagraph"/>
              <w:numPr>
                <w:ilvl w:val="0"/>
                <w:numId w:val="28"/>
              </w:numPr>
              <w:spacing w:line="276" w:lineRule="auto"/>
              <w:rPr>
                <w:rFonts w:ascii="Calibri" w:hAnsi="Calibri" w:cs="Calibri"/>
                <w:i/>
                <w:iCs/>
                <w:color w:val="000000" w:themeColor="text1"/>
                <w:sz w:val="22"/>
                <w:szCs w:val="22"/>
              </w:rPr>
            </w:pPr>
            <w:r w:rsidRPr="00412C89">
              <w:rPr>
                <w:rFonts w:ascii="Calibri" w:hAnsi="Calibri" w:cs="Calibri"/>
                <w:i/>
                <w:iCs/>
                <w:color w:val="000000" w:themeColor="text1"/>
                <w:sz w:val="22"/>
                <w:szCs w:val="22"/>
              </w:rPr>
              <w:t>How could an attorney help prevent further incidents of financial abuse?</w:t>
            </w:r>
          </w:p>
          <w:p w14:paraId="6843F7F9" w14:textId="77777777" w:rsidR="00770CB8" w:rsidRPr="00770CB8" w:rsidRDefault="00770CB8" w:rsidP="00770CB8">
            <w:pPr>
              <w:pStyle w:val="ListParagraph"/>
              <w:spacing w:line="276" w:lineRule="auto"/>
              <w:rPr>
                <w:rFonts w:ascii="Calibri" w:hAnsi="Calibri" w:cs="Calibri"/>
                <w:i/>
                <w:iCs/>
                <w:color w:val="000000" w:themeColor="text1"/>
                <w:sz w:val="16"/>
                <w:szCs w:val="16"/>
              </w:rPr>
            </w:pPr>
          </w:p>
          <w:p w14:paraId="7781173B" w14:textId="77777777" w:rsidR="000B761D" w:rsidRPr="00200D34" w:rsidRDefault="000B761D" w:rsidP="00454974">
            <w:pPr>
              <w:ind w:left="57"/>
              <w:rPr>
                <w:rFonts w:ascii="Calibri" w:hAnsi="Calibri" w:cs="Calibri"/>
                <w:b/>
                <w:bCs/>
                <w:sz w:val="28"/>
                <w:szCs w:val="28"/>
              </w:rPr>
            </w:pPr>
            <w:r w:rsidRPr="005A2B04">
              <w:rPr>
                <w:rFonts w:ascii="Calibri" w:hAnsi="Calibri" w:cs="Calibri"/>
                <w:b/>
                <w:bCs/>
                <w:sz w:val="28"/>
                <w:szCs w:val="28"/>
              </w:rPr>
              <w:t>Retaining the relevant information</w:t>
            </w:r>
          </w:p>
          <w:p w14:paraId="2641056F" w14:textId="7F3C212B" w:rsidR="001670AE" w:rsidRPr="00770CB8" w:rsidRDefault="001670AE" w:rsidP="00770CB8">
            <w:pPr>
              <w:ind w:left="57"/>
              <w:rPr>
                <w:rFonts w:asciiTheme="minorHAnsi" w:hAnsiTheme="minorHAnsi" w:cs="Arial"/>
                <w:b/>
                <w:bCs/>
                <w:sz w:val="22"/>
                <w:szCs w:val="22"/>
              </w:rPr>
            </w:pPr>
            <w:r w:rsidRPr="00824A5B">
              <w:rPr>
                <w:rFonts w:asciiTheme="minorHAnsi" w:hAnsiTheme="minorHAnsi" w:cs="Arial"/>
                <w:sz w:val="22"/>
                <w:szCs w:val="22"/>
              </w:rPr>
              <w:t>Section 3(3) of the Mental Capacity Act 2005 states that ‘</w:t>
            </w:r>
            <w:r w:rsidRPr="00824A5B">
              <w:rPr>
                <w:rFonts w:asciiTheme="minorHAnsi" w:hAnsiTheme="minorHAnsi" w:cs="Arial"/>
                <w:i/>
                <w:iCs/>
                <w:sz w:val="22"/>
                <w:szCs w:val="22"/>
              </w:rPr>
              <w:t xml:space="preserve">The fact that a person is able to retain the information relevant to a decision for a short period only does not prevent him from being regarded as able to make the decision.’  </w:t>
            </w:r>
            <w:r w:rsidRPr="00824A5B">
              <w:rPr>
                <w:rFonts w:asciiTheme="minorHAnsi" w:hAnsiTheme="minorHAnsi" w:cs="Arial"/>
                <w:sz w:val="22"/>
                <w:szCs w:val="22"/>
              </w:rPr>
              <w:t xml:space="preserve">Therefore, if information can be retained long enough for the </w:t>
            </w:r>
            <w:r>
              <w:rPr>
                <w:rFonts w:asciiTheme="minorHAnsi" w:hAnsiTheme="minorHAnsi" w:cs="Arial"/>
                <w:sz w:val="22"/>
                <w:szCs w:val="22"/>
              </w:rPr>
              <w:t>adult</w:t>
            </w:r>
            <w:r w:rsidRPr="00824A5B">
              <w:rPr>
                <w:rFonts w:asciiTheme="minorHAnsi" w:hAnsiTheme="minorHAnsi" w:cs="Arial"/>
                <w:sz w:val="22"/>
                <w:szCs w:val="22"/>
              </w:rPr>
              <w:t xml:space="preserve"> to make the decision, that is </w:t>
            </w:r>
            <w:proofErr w:type="gramStart"/>
            <w:r w:rsidRPr="00824A5B">
              <w:rPr>
                <w:rFonts w:asciiTheme="minorHAnsi" w:hAnsiTheme="minorHAnsi" w:cs="Arial"/>
                <w:sz w:val="22"/>
                <w:szCs w:val="22"/>
              </w:rPr>
              <w:t>sufficient</w:t>
            </w:r>
            <w:proofErr w:type="gramEnd"/>
            <w:r w:rsidRPr="00824A5B">
              <w:rPr>
                <w:rFonts w:asciiTheme="minorHAnsi" w:hAnsiTheme="minorHAnsi" w:cs="Arial"/>
                <w:sz w:val="22"/>
                <w:szCs w:val="22"/>
              </w:rPr>
              <w:t>, even if they cannot then retain that information for a longer period.</w:t>
            </w:r>
            <w:r w:rsidR="00770CB8">
              <w:rPr>
                <w:rFonts w:asciiTheme="minorHAnsi" w:hAnsiTheme="minorHAnsi" w:cs="Arial"/>
                <w:b/>
                <w:bCs/>
                <w:sz w:val="22"/>
                <w:szCs w:val="22"/>
              </w:rPr>
              <w:t xml:space="preserve"> </w:t>
            </w:r>
            <w:r w:rsidRPr="00E54D5E">
              <w:rPr>
                <w:rFonts w:asciiTheme="minorHAnsi" w:hAnsiTheme="minorHAnsi" w:cs="Arial"/>
                <w:sz w:val="22"/>
                <w:szCs w:val="22"/>
              </w:rPr>
              <w:t>To assess the adult’s ability to retain information, it is likely that the same methods and tools used to provide the relevant information and assess understanding will need to be used again. For adults</w:t>
            </w:r>
            <w:r>
              <w:rPr>
                <w:rFonts w:asciiTheme="minorHAnsi" w:hAnsiTheme="minorHAnsi" w:cs="Arial"/>
                <w:sz w:val="22"/>
                <w:szCs w:val="22"/>
              </w:rPr>
              <w:t xml:space="preserve"> who have good verbal communication</w:t>
            </w:r>
            <w:r w:rsidRPr="00E54D5E">
              <w:rPr>
                <w:rFonts w:asciiTheme="minorHAnsi" w:hAnsiTheme="minorHAnsi" w:cs="Arial"/>
                <w:sz w:val="22"/>
                <w:szCs w:val="22"/>
              </w:rPr>
              <w:t xml:space="preserve">, </w:t>
            </w:r>
            <w:r>
              <w:rPr>
                <w:rFonts w:asciiTheme="minorHAnsi" w:hAnsiTheme="minorHAnsi" w:cs="Arial"/>
                <w:sz w:val="22"/>
                <w:szCs w:val="22"/>
              </w:rPr>
              <w:t xml:space="preserve">it would be appropriate to ask them to </w:t>
            </w:r>
            <w:r w:rsidRPr="00E54D5E">
              <w:rPr>
                <w:rFonts w:asciiTheme="minorHAnsi" w:hAnsiTheme="minorHAnsi" w:cs="Arial"/>
                <w:sz w:val="22"/>
                <w:szCs w:val="22"/>
              </w:rPr>
              <w:t>recite the key points of the relevant information</w:t>
            </w:r>
            <w:r>
              <w:rPr>
                <w:rFonts w:asciiTheme="minorHAnsi" w:hAnsiTheme="minorHAnsi" w:cs="Arial"/>
                <w:sz w:val="22"/>
                <w:szCs w:val="22"/>
              </w:rPr>
              <w:t xml:space="preserve">. For adults with communication difficulties, it </w:t>
            </w:r>
            <w:r w:rsidR="00AB772D">
              <w:rPr>
                <w:rFonts w:asciiTheme="minorHAnsi" w:hAnsiTheme="minorHAnsi" w:cs="Arial"/>
                <w:sz w:val="22"/>
                <w:szCs w:val="22"/>
              </w:rPr>
              <w:t>may</w:t>
            </w:r>
            <w:r>
              <w:rPr>
                <w:rFonts w:asciiTheme="minorHAnsi" w:hAnsiTheme="minorHAnsi" w:cs="Arial"/>
                <w:sz w:val="22"/>
                <w:szCs w:val="22"/>
              </w:rPr>
              <w:t xml:space="preserve"> be appropriate to use written words </w:t>
            </w:r>
            <w:r w:rsidRPr="00043F4F">
              <w:rPr>
                <w:rFonts w:asciiTheme="minorHAnsi" w:hAnsiTheme="minorHAnsi" w:cs="Arial"/>
                <w:sz w:val="22"/>
                <w:szCs w:val="22"/>
              </w:rPr>
              <w:t xml:space="preserve">or visual aids to establish whether the </w:t>
            </w:r>
            <w:r w:rsidR="00B70439" w:rsidRPr="00043F4F">
              <w:rPr>
                <w:rFonts w:asciiTheme="minorHAnsi" w:hAnsiTheme="minorHAnsi" w:cs="Arial"/>
                <w:sz w:val="22"/>
                <w:szCs w:val="22"/>
              </w:rPr>
              <w:t xml:space="preserve">adult </w:t>
            </w:r>
            <w:r w:rsidRPr="00043F4F">
              <w:rPr>
                <w:rFonts w:asciiTheme="minorHAnsi" w:hAnsiTheme="minorHAnsi" w:cs="Arial"/>
                <w:sz w:val="22"/>
                <w:szCs w:val="22"/>
              </w:rPr>
              <w:t xml:space="preserve">recalls the key information a short while after it has been provided.   </w:t>
            </w:r>
          </w:p>
          <w:p w14:paraId="7FBA82F3" w14:textId="77777777" w:rsidR="000B761D" w:rsidRPr="00770CB8" w:rsidRDefault="000B761D" w:rsidP="00454974">
            <w:pPr>
              <w:rPr>
                <w:rFonts w:ascii="Calibri" w:hAnsi="Calibri" w:cs="Calibri"/>
                <w:b/>
                <w:bCs/>
                <w:sz w:val="16"/>
                <w:szCs w:val="16"/>
              </w:rPr>
            </w:pPr>
          </w:p>
          <w:p w14:paraId="313EB3EB" w14:textId="77777777" w:rsidR="000B761D" w:rsidRPr="00200D34" w:rsidRDefault="000B761D" w:rsidP="00245B7C">
            <w:pPr>
              <w:rPr>
                <w:rFonts w:ascii="Calibri" w:hAnsi="Calibri" w:cs="Calibri"/>
                <w:b/>
                <w:bCs/>
                <w:sz w:val="28"/>
                <w:szCs w:val="28"/>
              </w:rPr>
            </w:pPr>
            <w:r w:rsidRPr="00200D34">
              <w:rPr>
                <w:rFonts w:ascii="Calibri" w:hAnsi="Calibri" w:cs="Calibri"/>
                <w:b/>
                <w:bCs/>
                <w:sz w:val="28"/>
                <w:szCs w:val="28"/>
              </w:rPr>
              <w:t>Use or weigh the relevant information</w:t>
            </w:r>
          </w:p>
          <w:p w14:paraId="2DA46BAB" w14:textId="56831EA9" w:rsidR="00B70439" w:rsidRPr="001E1B4D" w:rsidRDefault="00C274FE" w:rsidP="001E1B4D">
            <w:pPr>
              <w:rPr>
                <w:rFonts w:asciiTheme="minorHAnsi" w:hAnsiTheme="minorHAnsi" w:cs="Arial"/>
                <w:sz w:val="22"/>
                <w:szCs w:val="22"/>
              </w:rPr>
            </w:pPr>
            <w:r w:rsidRPr="00C274FE">
              <w:rPr>
                <w:rFonts w:ascii="Calibri" w:hAnsi="Calibri" w:cs="Arial"/>
                <w:sz w:val="22"/>
                <w:szCs w:val="22"/>
              </w:rPr>
              <w:t xml:space="preserve">This part of the assessment will build upon questions asked to assess the </w:t>
            </w:r>
            <w:r w:rsidR="00B70439">
              <w:rPr>
                <w:rFonts w:ascii="Calibri" w:hAnsi="Calibri" w:cs="Arial"/>
                <w:sz w:val="22"/>
                <w:szCs w:val="22"/>
              </w:rPr>
              <w:t>adult</w:t>
            </w:r>
            <w:r w:rsidRPr="00C274FE">
              <w:rPr>
                <w:rFonts w:ascii="Calibri" w:hAnsi="Calibri" w:cs="Arial"/>
                <w:sz w:val="22"/>
                <w:szCs w:val="22"/>
              </w:rPr>
              <w:t xml:space="preserve">’s understanding of the relevant information. The aim is to determine whether the </w:t>
            </w:r>
            <w:r w:rsidR="00B70439">
              <w:rPr>
                <w:rFonts w:ascii="Calibri" w:hAnsi="Calibri" w:cs="Arial"/>
                <w:sz w:val="22"/>
                <w:szCs w:val="22"/>
              </w:rPr>
              <w:t>adult</w:t>
            </w:r>
            <w:r w:rsidRPr="00C274FE">
              <w:rPr>
                <w:rFonts w:ascii="Calibri" w:hAnsi="Calibri" w:cs="Arial"/>
                <w:sz w:val="22"/>
                <w:szCs w:val="22"/>
              </w:rPr>
              <w:t xml:space="preserve"> is </w:t>
            </w:r>
            <w:r w:rsidRPr="00C274FE">
              <w:rPr>
                <w:rFonts w:ascii="Calibri" w:hAnsi="Calibri" w:cs="Arial"/>
                <w:i/>
                <w:iCs/>
                <w:sz w:val="22"/>
                <w:szCs w:val="22"/>
              </w:rPr>
              <w:t xml:space="preserve">‘...able to </w:t>
            </w:r>
            <w:r w:rsidRPr="00C274FE">
              <w:rPr>
                <w:rFonts w:ascii="Calibri" w:hAnsi="Calibri" w:cs="Arial"/>
                <w:b/>
                <w:bCs/>
                <w:i/>
                <w:iCs/>
                <w:sz w:val="22"/>
                <w:szCs w:val="22"/>
              </w:rPr>
              <w:t>employ</w:t>
            </w:r>
            <w:r w:rsidRPr="00C274FE">
              <w:rPr>
                <w:rFonts w:ascii="Calibri" w:hAnsi="Calibri" w:cs="Arial"/>
                <w:i/>
                <w:iCs/>
                <w:sz w:val="22"/>
                <w:szCs w:val="22"/>
              </w:rPr>
              <w:t xml:space="preserve"> the relevant information in the decision-making process and determine </w:t>
            </w:r>
            <w:r w:rsidRPr="00C274FE">
              <w:rPr>
                <w:rFonts w:ascii="Calibri" w:hAnsi="Calibri" w:cs="Arial"/>
                <w:b/>
                <w:bCs/>
                <w:i/>
                <w:iCs/>
                <w:sz w:val="22"/>
                <w:szCs w:val="22"/>
              </w:rPr>
              <w:t>what weight to give</w:t>
            </w:r>
            <w:r w:rsidRPr="00C274FE">
              <w:rPr>
                <w:rFonts w:ascii="Calibri" w:hAnsi="Calibri" w:cs="Arial"/>
                <w:i/>
                <w:iCs/>
                <w:sz w:val="22"/>
                <w:szCs w:val="22"/>
              </w:rPr>
              <w:t xml:space="preserve"> it relative to other information required to make the decision.</w:t>
            </w:r>
            <w:r w:rsidRPr="00C274FE">
              <w:rPr>
                <w:rFonts w:ascii="Calibri" w:hAnsi="Calibri" w:cs="Arial"/>
                <w:sz w:val="22"/>
                <w:szCs w:val="22"/>
              </w:rPr>
              <w:t>’</w:t>
            </w:r>
            <w:r w:rsidRPr="00C274FE">
              <w:rPr>
                <w:rStyle w:val="FootnoteReference"/>
                <w:rFonts w:ascii="Calibri" w:hAnsi="Calibri" w:cs="Arial"/>
                <w:sz w:val="22"/>
                <w:szCs w:val="22"/>
              </w:rPr>
              <w:footnoteReference w:id="6"/>
            </w:r>
            <w:r w:rsidRPr="00C274FE">
              <w:rPr>
                <w:rFonts w:ascii="Calibri" w:hAnsi="Calibri" w:cs="Arial"/>
                <w:sz w:val="22"/>
                <w:szCs w:val="22"/>
              </w:rPr>
              <w:t xml:space="preserve"> It is therefore necessary for the adult at risk to be able to </w:t>
            </w:r>
            <w:r w:rsidRPr="00C274FE">
              <w:rPr>
                <w:rFonts w:ascii="Calibri" w:hAnsi="Calibri" w:cs="Arial"/>
                <w:b/>
                <w:bCs/>
                <w:sz w:val="22"/>
                <w:szCs w:val="22"/>
              </w:rPr>
              <w:t>apply the relevant information</w:t>
            </w:r>
            <w:r w:rsidRPr="00C274FE">
              <w:rPr>
                <w:rFonts w:ascii="Calibri" w:hAnsi="Calibri" w:cs="Arial"/>
                <w:sz w:val="22"/>
                <w:szCs w:val="22"/>
              </w:rPr>
              <w:t xml:space="preserve"> to themselves and</w:t>
            </w:r>
            <w:r w:rsidR="00010B0A">
              <w:rPr>
                <w:rFonts w:ascii="Calibri" w:hAnsi="Calibri" w:cs="Arial"/>
                <w:sz w:val="22"/>
                <w:szCs w:val="22"/>
              </w:rPr>
              <w:t xml:space="preserve"> the particular financial decision in question.</w:t>
            </w:r>
            <w:r w:rsidR="001E1B4D">
              <w:rPr>
                <w:rFonts w:ascii="Calibri" w:hAnsi="Calibri" w:cs="Arial"/>
                <w:sz w:val="22"/>
                <w:szCs w:val="22"/>
              </w:rPr>
              <w:t xml:space="preserve"> </w:t>
            </w:r>
            <w:r w:rsidR="001E1B4D" w:rsidRPr="00003EC8">
              <w:rPr>
                <w:rFonts w:asciiTheme="minorHAnsi" w:hAnsiTheme="minorHAnsi" w:cs="Arial"/>
                <w:sz w:val="22"/>
                <w:szCs w:val="22"/>
              </w:rPr>
              <w:t xml:space="preserve">Another way of putting it is, can the person having understood the information, take account of it? </w:t>
            </w:r>
          </w:p>
          <w:p w14:paraId="350896AF" w14:textId="77777777" w:rsidR="00A93DFD" w:rsidRPr="00770CB8" w:rsidRDefault="00A93DFD" w:rsidP="00290023">
            <w:pPr>
              <w:rPr>
                <w:rFonts w:ascii="Calibri" w:hAnsi="Calibri" w:cs="Arial"/>
                <w:strike/>
                <w:sz w:val="16"/>
                <w:szCs w:val="16"/>
              </w:rPr>
            </w:pPr>
          </w:p>
          <w:p w14:paraId="66E9ACD0" w14:textId="1730E907" w:rsidR="00C274FE" w:rsidRPr="00E95511" w:rsidRDefault="00C274FE" w:rsidP="00E95511">
            <w:pPr>
              <w:ind w:left="57"/>
              <w:rPr>
                <w:rFonts w:ascii="Calibri" w:hAnsi="Calibri" w:cs="Arial"/>
                <w:sz w:val="22"/>
                <w:szCs w:val="22"/>
              </w:rPr>
            </w:pPr>
            <w:r w:rsidRPr="00E95511">
              <w:rPr>
                <w:rFonts w:ascii="Calibri" w:hAnsi="Calibri" w:cs="Arial"/>
                <w:sz w:val="22"/>
                <w:szCs w:val="22"/>
              </w:rPr>
              <w:t>To assess the adult’s ability to use or weigh information, questions should aim to</w:t>
            </w:r>
            <w:r w:rsidR="00A93DFD" w:rsidRPr="00E95511">
              <w:rPr>
                <w:rFonts w:ascii="Calibri" w:hAnsi="Calibri" w:cs="Arial"/>
                <w:sz w:val="22"/>
                <w:szCs w:val="22"/>
              </w:rPr>
              <w:t xml:space="preserve"> find out how they make financial decision</w:t>
            </w:r>
            <w:r w:rsidR="00B35EDF" w:rsidRPr="00E95511">
              <w:rPr>
                <w:rFonts w:ascii="Calibri" w:hAnsi="Calibri" w:cs="Arial"/>
                <w:sz w:val="22"/>
                <w:szCs w:val="22"/>
              </w:rPr>
              <w:t>s</w:t>
            </w:r>
            <w:r w:rsidR="00A93DFD" w:rsidRPr="00E95511">
              <w:rPr>
                <w:rFonts w:ascii="Calibri" w:hAnsi="Calibri" w:cs="Arial"/>
                <w:sz w:val="22"/>
                <w:szCs w:val="22"/>
              </w:rPr>
              <w:t xml:space="preserve"> </w:t>
            </w:r>
            <w:r w:rsidR="00BA284A" w:rsidRPr="00E95511">
              <w:rPr>
                <w:rFonts w:ascii="Calibri" w:hAnsi="Calibri" w:cs="Arial"/>
                <w:sz w:val="22"/>
                <w:szCs w:val="22"/>
              </w:rPr>
              <w:t xml:space="preserve">and </w:t>
            </w:r>
            <w:r w:rsidR="00A93DFD" w:rsidRPr="00E95511">
              <w:rPr>
                <w:rFonts w:ascii="Calibri" w:hAnsi="Calibri" w:cs="Arial"/>
                <w:sz w:val="22"/>
                <w:szCs w:val="22"/>
              </w:rPr>
              <w:t xml:space="preserve">what factors they </w:t>
            </w:r>
            <w:proofErr w:type="gramStart"/>
            <w:r w:rsidR="00A93DFD" w:rsidRPr="00E95511">
              <w:rPr>
                <w:rFonts w:ascii="Calibri" w:hAnsi="Calibri" w:cs="Arial"/>
                <w:sz w:val="22"/>
                <w:szCs w:val="22"/>
              </w:rPr>
              <w:t>take into account</w:t>
            </w:r>
            <w:proofErr w:type="gramEnd"/>
            <w:r w:rsidR="00BA284A" w:rsidRPr="00E95511">
              <w:rPr>
                <w:rFonts w:ascii="Calibri" w:hAnsi="Calibri" w:cs="Arial"/>
                <w:sz w:val="22"/>
                <w:szCs w:val="22"/>
              </w:rPr>
              <w:t>. Equally important are</w:t>
            </w:r>
            <w:r w:rsidR="00A93DFD" w:rsidRPr="00E95511">
              <w:rPr>
                <w:rFonts w:ascii="Calibri" w:hAnsi="Calibri" w:cs="Arial"/>
                <w:sz w:val="22"/>
                <w:szCs w:val="22"/>
              </w:rPr>
              <w:t xml:space="preserve"> </w:t>
            </w:r>
            <w:r w:rsidR="00BA284A" w:rsidRPr="00E95511">
              <w:rPr>
                <w:rFonts w:ascii="Calibri" w:hAnsi="Calibri" w:cs="Arial"/>
                <w:sz w:val="22"/>
                <w:szCs w:val="22"/>
              </w:rPr>
              <w:t>the</w:t>
            </w:r>
            <w:r w:rsidR="00A93DFD" w:rsidRPr="00E95511">
              <w:rPr>
                <w:rFonts w:ascii="Calibri" w:hAnsi="Calibri" w:cs="Arial"/>
                <w:sz w:val="22"/>
                <w:szCs w:val="22"/>
              </w:rPr>
              <w:t xml:space="preserve"> </w:t>
            </w:r>
            <w:r w:rsidR="004116B8" w:rsidRPr="00E95511">
              <w:rPr>
                <w:rFonts w:ascii="Calibri" w:hAnsi="Calibri" w:cs="Arial"/>
                <w:sz w:val="22"/>
                <w:szCs w:val="22"/>
              </w:rPr>
              <w:t xml:space="preserve">values </w:t>
            </w:r>
            <w:r w:rsidR="00BA284A" w:rsidRPr="00E95511">
              <w:rPr>
                <w:rFonts w:ascii="Calibri" w:hAnsi="Calibri" w:cs="Arial"/>
                <w:sz w:val="22"/>
                <w:szCs w:val="22"/>
              </w:rPr>
              <w:t xml:space="preserve">that </w:t>
            </w:r>
            <w:r w:rsidR="004116B8" w:rsidRPr="00E95511">
              <w:rPr>
                <w:rFonts w:ascii="Calibri" w:hAnsi="Calibri" w:cs="Arial"/>
                <w:sz w:val="22"/>
                <w:szCs w:val="22"/>
              </w:rPr>
              <w:t>influence how they</w:t>
            </w:r>
            <w:r w:rsidR="00A93DFD" w:rsidRPr="00E95511">
              <w:rPr>
                <w:rFonts w:ascii="Calibri" w:hAnsi="Calibri" w:cs="Arial"/>
                <w:sz w:val="22"/>
                <w:szCs w:val="22"/>
              </w:rPr>
              <w:t xml:space="preserve"> weigh up</w:t>
            </w:r>
            <w:r w:rsidR="00B35EDF" w:rsidRPr="00E95511">
              <w:rPr>
                <w:rFonts w:ascii="Calibri" w:hAnsi="Calibri" w:cs="Arial"/>
                <w:sz w:val="22"/>
                <w:szCs w:val="22"/>
              </w:rPr>
              <w:t xml:space="preserve"> </w:t>
            </w:r>
            <w:r w:rsidR="004116B8" w:rsidRPr="00E95511">
              <w:rPr>
                <w:rFonts w:ascii="Calibri" w:hAnsi="Calibri" w:cs="Arial"/>
                <w:sz w:val="22"/>
                <w:szCs w:val="22"/>
              </w:rPr>
              <w:t>information</w:t>
            </w:r>
            <w:r w:rsidR="00A93DFD" w:rsidRPr="00E95511">
              <w:rPr>
                <w:rFonts w:ascii="Calibri" w:hAnsi="Calibri" w:cs="Arial"/>
                <w:sz w:val="22"/>
                <w:szCs w:val="22"/>
              </w:rPr>
              <w:t xml:space="preserve">. For example, two people who </w:t>
            </w:r>
            <w:r w:rsidR="00B35EDF" w:rsidRPr="00E95511">
              <w:rPr>
                <w:rFonts w:ascii="Calibri" w:hAnsi="Calibri" w:cs="Arial"/>
                <w:sz w:val="22"/>
                <w:szCs w:val="22"/>
              </w:rPr>
              <w:t xml:space="preserve">are able to </w:t>
            </w:r>
            <w:r w:rsidR="00A93DFD" w:rsidRPr="00E95511">
              <w:rPr>
                <w:rFonts w:ascii="Calibri" w:hAnsi="Calibri" w:cs="Arial"/>
                <w:sz w:val="22"/>
                <w:szCs w:val="22"/>
              </w:rPr>
              <w:t>understand and retain the relevant information may choose to behave very differently: one may prefer to spend their money because they want to enjoy their last years, whereas another may choose to be thrifty because they want to leave money to their grandchild</w:t>
            </w:r>
            <w:r w:rsidR="001A5B2E" w:rsidRPr="00E95511">
              <w:rPr>
                <w:rFonts w:ascii="Calibri" w:hAnsi="Calibri" w:cs="Arial"/>
                <w:sz w:val="22"/>
                <w:szCs w:val="22"/>
              </w:rPr>
              <w:t>ren</w:t>
            </w:r>
            <w:r w:rsidR="00A93DFD" w:rsidRPr="00E95511">
              <w:rPr>
                <w:rFonts w:ascii="Calibri" w:hAnsi="Calibri" w:cs="Arial"/>
                <w:sz w:val="22"/>
                <w:szCs w:val="22"/>
              </w:rPr>
              <w:t>.</w:t>
            </w:r>
            <w:r w:rsidR="00245B7C">
              <w:rPr>
                <w:rFonts w:ascii="Calibri" w:hAnsi="Calibri" w:cs="Arial"/>
                <w:sz w:val="22"/>
                <w:szCs w:val="22"/>
              </w:rPr>
              <w:t xml:space="preserve"> P</w:t>
            </w:r>
            <w:r w:rsidR="00136D48" w:rsidRPr="00E95511">
              <w:rPr>
                <w:rFonts w:ascii="Calibri" w:hAnsi="Calibri" w:cs="Arial"/>
                <w:sz w:val="22"/>
                <w:szCs w:val="22"/>
              </w:rPr>
              <w:t>otential questions to ask include:</w:t>
            </w:r>
          </w:p>
          <w:p w14:paraId="57477B38" w14:textId="77777777" w:rsidR="00A33BC9" w:rsidRPr="00770CB8" w:rsidRDefault="00A33BC9" w:rsidP="00A33BC9">
            <w:pPr>
              <w:rPr>
                <w:rFonts w:asciiTheme="minorHAnsi" w:hAnsiTheme="minorHAnsi" w:cstheme="minorHAnsi"/>
                <w:sz w:val="10"/>
                <w:szCs w:val="10"/>
              </w:rPr>
            </w:pPr>
          </w:p>
          <w:p w14:paraId="1FF87B39" w14:textId="56C9B8DA" w:rsidR="00BA7FE1" w:rsidRPr="00E95511" w:rsidRDefault="00A33BC9" w:rsidP="00BA7FE1">
            <w:pPr>
              <w:pStyle w:val="ListParagraph"/>
              <w:numPr>
                <w:ilvl w:val="0"/>
                <w:numId w:val="28"/>
              </w:numPr>
              <w:spacing w:line="276" w:lineRule="auto"/>
              <w:rPr>
                <w:rFonts w:asciiTheme="minorHAnsi" w:hAnsiTheme="minorHAnsi" w:cstheme="minorHAnsi"/>
                <w:i/>
                <w:iCs/>
                <w:sz w:val="22"/>
                <w:szCs w:val="22"/>
              </w:rPr>
            </w:pPr>
            <w:r w:rsidRPr="00E95511">
              <w:rPr>
                <w:rFonts w:asciiTheme="minorHAnsi" w:hAnsiTheme="minorHAnsi" w:cstheme="minorHAnsi"/>
                <w:i/>
                <w:iCs/>
                <w:sz w:val="22"/>
                <w:szCs w:val="22"/>
              </w:rPr>
              <w:t>Do you have any money problems</w:t>
            </w:r>
            <w:r w:rsidR="0055139B" w:rsidRPr="00E95511">
              <w:rPr>
                <w:rFonts w:asciiTheme="minorHAnsi" w:hAnsiTheme="minorHAnsi" w:cstheme="minorHAnsi"/>
                <w:i/>
                <w:iCs/>
                <w:sz w:val="22"/>
                <w:szCs w:val="22"/>
              </w:rPr>
              <w:t>?</w:t>
            </w:r>
          </w:p>
          <w:p w14:paraId="2B135411" w14:textId="77777777" w:rsidR="00A33BC9" w:rsidRPr="007600C0" w:rsidRDefault="00A33BC9" w:rsidP="00A33BC9">
            <w:pPr>
              <w:pStyle w:val="ListParagraph"/>
              <w:numPr>
                <w:ilvl w:val="0"/>
                <w:numId w:val="28"/>
              </w:numPr>
              <w:spacing w:line="276" w:lineRule="auto"/>
              <w:rPr>
                <w:rFonts w:asciiTheme="minorHAnsi" w:hAnsiTheme="minorHAnsi" w:cstheme="minorHAnsi"/>
                <w:i/>
                <w:iCs/>
                <w:sz w:val="22"/>
                <w:szCs w:val="22"/>
              </w:rPr>
            </w:pPr>
            <w:r w:rsidRPr="00E95511">
              <w:rPr>
                <w:rFonts w:asciiTheme="minorHAnsi" w:hAnsiTheme="minorHAnsi" w:cstheme="minorHAnsi"/>
                <w:i/>
                <w:iCs/>
                <w:sz w:val="22"/>
                <w:szCs w:val="22"/>
              </w:rPr>
              <w:t>Why do you think others are concerned about the way you manage your</w:t>
            </w:r>
            <w:r w:rsidRPr="007600C0">
              <w:rPr>
                <w:rFonts w:asciiTheme="minorHAnsi" w:hAnsiTheme="minorHAnsi" w:cstheme="minorHAnsi"/>
                <w:i/>
                <w:iCs/>
                <w:sz w:val="22"/>
                <w:szCs w:val="22"/>
              </w:rPr>
              <w:t xml:space="preserve"> finances?</w:t>
            </w:r>
          </w:p>
          <w:p w14:paraId="1F8CDA6F" w14:textId="77777777" w:rsidR="00A33BC9" w:rsidRPr="007600C0" w:rsidRDefault="00A33BC9" w:rsidP="00A33BC9">
            <w:pPr>
              <w:pStyle w:val="ListParagraph"/>
              <w:numPr>
                <w:ilvl w:val="0"/>
                <w:numId w:val="28"/>
              </w:numPr>
              <w:spacing w:line="276" w:lineRule="auto"/>
              <w:rPr>
                <w:rFonts w:asciiTheme="minorHAnsi" w:hAnsiTheme="minorHAnsi" w:cstheme="minorHAnsi"/>
                <w:i/>
                <w:iCs/>
                <w:sz w:val="22"/>
                <w:szCs w:val="22"/>
              </w:rPr>
            </w:pPr>
            <w:r w:rsidRPr="007600C0">
              <w:rPr>
                <w:rFonts w:asciiTheme="minorHAnsi" w:hAnsiTheme="minorHAnsi" w:cstheme="minorHAnsi"/>
                <w:i/>
                <w:iCs/>
                <w:sz w:val="22"/>
                <w:szCs w:val="22"/>
              </w:rPr>
              <w:t>Why do you often run out of money to buy food/pay bills/rent?</w:t>
            </w:r>
          </w:p>
          <w:p w14:paraId="79A48806" w14:textId="77777777" w:rsidR="00A33BC9" w:rsidRPr="007600C0" w:rsidRDefault="00A33BC9" w:rsidP="00A33BC9">
            <w:pPr>
              <w:pStyle w:val="ListParagraph"/>
              <w:numPr>
                <w:ilvl w:val="0"/>
                <w:numId w:val="28"/>
              </w:numPr>
              <w:spacing w:line="276" w:lineRule="auto"/>
              <w:rPr>
                <w:rFonts w:asciiTheme="minorHAnsi" w:hAnsiTheme="minorHAnsi" w:cstheme="minorHAnsi"/>
                <w:i/>
                <w:iCs/>
                <w:sz w:val="22"/>
                <w:szCs w:val="22"/>
              </w:rPr>
            </w:pPr>
            <w:r w:rsidRPr="007600C0">
              <w:rPr>
                <w:rFonts w:asciiTheme="minorHAnsi" w:hAnsiTheme="minorHAnsi" w:cstheme="minorHAnsi"/>
                <w:i/>
                <w:iCs/>
                <w:sz w:val="22"/>
                <w:szCs w:val="22"/>
              </w:rPr>
              <w:t>Why do you choose to spend money on X rather than buy food/pay bills/rent?</w:t>
            </w:r>
          </w:p>
          <w:p w14:paraId="380334C2" w14:textId="77777777" w:rsidR="00A33BC9" w:rsidRPr="007600C0" w:rsidRDefault="00A33BC9" w:rsidP="00A33BC9">
            <w:pPr>
              <w:pStyle w:val="ListParagraph"/>
              <w:numPr>
                <w:ilvl w:val="0"/>
                <w:numId w:val="28"/>
              </w:numPr>
              <w:spacing w:line="276" w:lineRule="auto"/>
              <w:rPr>
                <w:rFonts w:asciiTheme="minorHAnsi" w:hAnsiTheme="minorHAnsi" w:cstheme="minorHAnsi"/>
                <w:i/>
                <w:iCs/>
                <w:sz w:val="22"/>
                <w:szCs w:val="22"/>
              </w:rPr>
            </w:pPr>
            <w:r w:rsidRPr="007600C0">
              <w:rPr>
                <w:rFonts w:asciiTheme="minorHAnsi" w:hAnsiTheme="minorHAnsi" w:cstheme="minorHAnsi"/>
                <w:i/>
                <w:iCs/>
                <w:sz w:val="22"/>
                <w:szCs w:val="22"/>
              </w:rPr>
              <w:t>Describe what you were thinking when you chose to spend your money on X rather than paying your bills/rent?</w:t>
            </w:r>
          </w:p>
          <w:p w14:paraId="6E0BC393" w14:textId="77777777" w:rsidR="00A33BC9" w:rsidRPr="007600C0" w:rsidRDefault="00A33BC9" w:rsidP="00A33BC9">
            <w:pPr>
              <w:pStyle w:val="ListParagraph"/>
              <w:numPr>
                <w:ilvl w:val="0"/>
                <w:numId w:val="28"/>
              </w:numPr>
              <w:spacing w:line="276" w:lineRule="auto"/>
              <w:rPr>
                <w:rFonts w:asciiTheme="minorHAnsi" w:hAnsiTheme="minorHAnsi" w:cstheme="minorHAnsi"/>
                <w:i/>
                <w:iCs/>
                <w:sz w:val="22"/>
                <w:szCs w:val="22"/>
              </w:rPr>
            </w:pPr>
            <w:r w:rsidRPr="007600C0">
              <w:rPr>
                <w:rFonts w:asciiTheme="minorHAnsi" w:hAnsiTheme="minorHAnsi" w:cstheme="minorHAnsi"/>
                <w:i/>
                <w:iCs/>
                <w:sz w:val="22"/>
                <w:szCs w:val="22"/>
              </w:rPr>
              <w:t>Do you think you need help to manage your finances (ask the vulnerable adult to qualify their answer)?</w:t>
            </w:r>
          </w:p>
          <w:p w14:paraId="545ADB15" w14:textId="77777777" w:rsidR="00A33BC9" w:rsidRPr="007600C0" w:rsidRDefault="00A33BC9" w:rsidP="00A33BC9">
            <w:pPr>
              <w:pStyle w:val="ListParagraph"/>
              <w:numPr>
                <w:ilvl w:val="0"/>
                <w:numId w:val="28"/>
              </w:numPr>
              <w:spacing w:line="276" w:lineRule="auto"/>
              <w:rPr>
                <w:rFonts w:asciiTheme="minorHAnsi" w:hAnsiTheme="minorHAnsi" w:cstheme="minorHAnsi"/>
                <w:i/>
                <w:iCs/>
                <w:sz w:val="22"/>
                <w:szCs w:val="22"/>
              </w:rPr>
            </w:pPr>
            <w:r w:rsidRPr="007600C0">
              <w:rPr>
                <w:rFonts w:asciiTheme="minorHAnsi" w:hAnsiTheme="minorHAnsi" w:cstheme="minorHAnsi"/>
                <w:i/>
                <w:iCs/>
                <w:sz w:val="22"/>
                <w:szCs w:val="22"/>
              </w:rPr>
              <w:t>What are the advantages/disadvantages of accepting help with managing your finances? What are the advantages/disadvantages of managing your finances independently (it may be helpful to provide the vulnerable adult with a record of their answers to reflect upon)?</w:t>
            </w:r>
          </w:p>
          <w:p w14:paraId="21070CB1" w14:textId="77777777" w:rsidR="007600C0" w:rsidRPr="007600C0" w:rsidRDefault="00A33BC9" w:rsidP="007600C0">
            <w:pPr>
              <w:pStyle w:val="ListParagraph"/>
              <w:numPr>
                <w:ilvl w:val="0"/>
                <w:numId w:val="28"/>
              </w:numPr>
              <w:spacing w:line="276" w:lineRule="auto"/>
              <w:rPr>
                <w:rFonts w:asciiTheme="minorHAnsi" w:hAnsiTheme="minorHAnsi" w:cstheme="minorHAnsi"/>
                <w:i/>
                <w:iCs/>
                <w:sz w:val="22"/>
                <w:szCs w:val="22"/>
              </w:rPr>
            </w:pPr>
            <w:r w:rsidRPr="007600C0">
              <w:rPr>
                <w:rFonts w:asciiTheme="minorHAnsi" w:hAnsiTheme="minorHAnsi" w:cstheme="minorHAnsi"/>
                <w:i/>
                <w:iCs/>
                <w:sz w:val="22"/>
                <w:szCs w:val="22"/>
              </w:rPr>
              <w:t xml:space="preserve">Have your benefits ever stopped? If so why and what did you do to sort it out? </w:t>
            </w:r>
          </w:p>
          <w:p w14:paraId="451EC54C" w14:textId="2A52EA56" w:rsidR="00A33BC9" w:rsidRPr="00C274FE" w:rsidRDefault="00A33BC9" w:rsidP="00A33BC9">
            <w:pPr>
              <w:pStyle w:val="ListParagraph"/>
              <w:numPr>
                <w:ilvl w:val="0"/>
                <w:numId w:val="28"/>
              </w:numPr>
              <w:spacing w:line="276" w:lineRule="auto"/>
              <w:rPr>
                <w:rFonts w:asciiTheme="minorHAnsi" w:hAnsiTheme="minorHAnsi" w:cstheme="minorHAnsi"/>
                <w:i/>
                <w:iCs/>
                <w:sz w:val="22"/>
                <w:szCs w:val="22"/>
              </w:rPr>
            </w:pPr>
            <w:r w:rsidRPr="007600C0">
              <w:rPr>
                <w:rFonts w:asciiTheme="minorHAnsi" w:hAnsiTheme="minorHAnsi" w:cstheme="minorHAnsi"/>
                <w:i/>
                <w:iCs/>
                <w:sz w:val="22"/>
                <w:szCs w:val="22"/>
              </w:rPr>
              <w:t>Why is it inadvisable to keep more than £85,000 in one bank account/building society?</w:t>
            </w:r>
            <w:r w:rsidRPr="007600C0">
              <w:rPr>
                <w:rStyle w:val="FootnoteReference"/>
                <w:rFonts w:asciiTheme="minorHAnsi" w:hAnsiTheme="minorHAnsi" w:cstheme="minorHAnsi"/>
                <w:i/>
                <w:iCs/>
                <w:sz w:val="22"/>
                <w:szCs w:val="22"/>
              </w:rPr>
              <w:footnoteReference w:id="7"/>
            </w:r>
          </w:p>
          <w:p w14:paraId="0471397F" w14:textId="5FAB234F" w:rsidR="00A33BC9" w:rsidRDefault="00A33BC9" w:rsidP="00A33BC9">
            <w:pPr>
              <w:pStyle w:val="ListParagraph"/>
              <w:numPr>
                <w:ilvl w:val="0"/>
                <w:numId w:val="28"/>
              </w:numPr>
              <w:spacing w:line="276" w:lineRule="auto"/>
              <w:rPr>
                <w:rFonts w:asciiTheme="minorHAnsi" w:hAnsiTheme="minorHAnsi" w:cstheme="minorHAnsi"/>
                <w:i/>
                <w:iCs/>
                <w:sz w:val="22"/>
                <w:szCs w:val="22"/>
              </w:rPr>
            </w:pPr>
            <w:r w:rsidRPr="007600C0">
              <w:rPr>
                <w:rFonts w:asciiTheme="minorHAnsi" w:hAnsiTheme="minorHAnsi" w:cstheme="minorHAnsi"/>
                <w:i/>
                <w:iCs/>
                <w:sz w:val="22"/>
                <w:szCs w:val="22"/>
              </w:rPr>
              <w:t>What actions could you take to prevent further incidents of financial abuse?</w:t>
            </w:r>
          </w:p>
          <w:p w14:paraId="06B765C0" w14:textId="13C56223" w:rsidR="00A33BC9" w:rsidRPr="00412C89" w:rsidRDefault="00A33BC9" w:rsidP="00A33BC9">
            <w:pPr>
              <w:pStyle w:val="ListParagraph"/>
              <w:numPr>
                <w:ilvl w:val="0"/>
                <w:numId w:val="28"/>
              </w:numPr>
              <w:spacing w:line="276" w:lineRule="auto"/>
              <w:rPr>
                <w:rFonts w:asciiTheme="minorHAnsi" w:hAnsiTheme="minorHAnsi" w:cstheme="minorHAnsi"/>
                <w:i/>
                <w:iCs/>
                <w:sz w:val="22"/>
                <w:szCs w:val="22"/>
              </w:rPr>
            </w:pPr>
            <w:r w:rsidRPr="00412C89">
              <w:rPr>
                <w:rFonts w:asciiTheme="minorHAnsi" w:hAnsiTheme="minorHAnsi" w:cstheme="minorHAnsi"/>
                <w:i/>
                <w:iCs/>
                <w:sz w:val="22"/>
                <w:szCs w:val="22"/>
              </w:rPr>
              <w:t>What are the advantages/disadvantages of appointing an attorney to manage your financial affairs?</w:t>
            </w:r>
          </w:p>
          <w:p w14:paraId="6C6DA4C3" w14:textId="10D68F86" w:rsidR="00E95511" w:rsidRDefault="00A33BC9" w:rsidP="00E95511">
            <w:pPr>
              <w:pStyle w:val="ListParagraph"/>
              <w:numPr>
                <w:ilvl w:val="0"/>
                <w:numId w:val="28"/>
              </w:numPr>
              <w:spacing w:line="276" w:lineRule="auto"/>
              <w:rPr>
                <w:rFonts w:asciiTheme="minorHAnsi" w:hAnsiTheme="minorHAnsi" w:cstheme="minorHAnsi"/>
                <w:i/>
                <w:iCs/>
                <w:sz w:val="22"/>
                <w:szCs w:val="22"/>
              </w:rPr>
            </w:pPr>
            <w:r w:rsidRPr="00412C89">
              <w:rPr>
                <w:rFonts w:asciiTheme="minorHAnsi" w:hAnsiTheme="minorHAnsi" w:cstheme="minorHAnsi"/>
                <w:i/>
                <w:iCs/>
                <w:sz w:val="22"/>
                <w:szCs w:val="22"/>
              </w:rPr>
              <w:t>What are the advantages/disadvantages of X (e.g</w:t>
            </w:r>
            <w:r w:rsidR="00407731" w:rsidRPr="00412C89">
              <w:rPr>
                <w:rFonts w:asciiTheme="minorHAnsi" w:hAnsiTheme="minorHAnsi" w:cstheme="minorHAnsi"/>
                <w:i/>
                <w:iCs/>
                <w:sz w:val="22"/>
                <w:szCs w:val="22"/>
              </w:rPr>
              <w:t>.</w:t>
            </w:r>
            <w:r w:rsidRPr="00412C89">
              <w:rPr>
                <w:rFonts w:asciiTheme="minorHAnsi" w:hAnsiTheme="minorHAnsi" w:cstheme="minorHAnsi"/>
                <w:i/>
                <w:iCs/>
                <w:sz w:val="22"/>
                <w:szCs w:val="22"/>
              </w:rPr>
              <w:t xml:space="preserve"> support worker) supporting you with your financial affairs?</w:t>
            </w:r>
          </w:p>
          <w:p w14:paraId="124CB53D" w14:textId="77777777" w:rsidR="00E95511" w:rsidRPr="00770CB8" w:rsidRDefault="00E95511" w:rsidP="00770CB8">
            <w:pPr>
              <w:spacing w:line="276" w:lineRule="auto"/>
              <w:rPr>
                <w:rFonts w:asciiTheme="minorHAnsi" w:hAnsiTheme="minorHAnsi" w:cstheme="minorHAnsi"/>
                <w:i/>
                <w:iCs/>
                <w:sz w:val="10"/>
                <w:szCs w:val="10"/>
              </w:rPr>
            </w:pPr>
          </w:p>
          <w:p w14:paraId="16EAA945" w14:textId="2425E967" w:rsidR="00A33BC9" w:rsidRPr="00E95511" w:rsidRDefault="00A33BC9" w:rsidP="00D64272">
            <w:pPr>
              <w:rPr>
                <w:rFonts w:asciiTheme="minorHAnsi" w:hAnsiTheme="minorHAnsi" w:cstheme="minorHAnsi"/>
                <w:i/>
                <w:iCs/>
                <w:sz w:val="22"/>
                <w:szCs w:val="22"/>
              </w:rPr>
            </w:pPr>
            <w:r w:rsidRPr="00E95511">
              <w:rPr>
                <w:rFonts w:ascii="Calibri" w:hAnsi="Calibri" w:cs="Calibri"/>
                <w:sz w:val="22"/>
                <w:szCs w:val="22"/>
              </w:rPr>
              <w:t xml:space="preserve">There are two common areas of difficulty in assessing whether a person can use or weigh information. The first is where </w:t>
            </w:r>
            <w:proofErr w:type="spellStart"/>
            <w:proofErr w:type="gramStart"/>
            <w:r w:rsidRPr="00E95511">
              <w:rPr>
                <w:rFonts w:ascii="Calibri" w:hAnsi="Calibri" w:cs="Calibri"/>
                <w:sz w:val="22"/>
                <w:szCs w:val="22"/>
              </w:rPr>
              <w:t>a</w:t>
            </w:r>
            <w:proofErr w:type="spellEnd"/>
            <w:proofErr w:type="gramEnd"/>
            <w:r w:rsidRPr="00E95511">
              <w:rPr>
                <w:rFonts w:ascii="Calibri" w:hAnsi="Calibri" w:cs="Calibri"/>
                <w:sz w:val="22"/>
                <w:szCs w:val="22"/>
              </w:rPr>
              <w:t xml:space="preserve"> </w:t>
            </w:r>
            <w:bookmarkStart w:id="0" w:name="_GoBack"/>
            <w:bookmarkEnd w:id="0"/>
            <w:r w:rsidRPr="00E95511">
              <w:rPr>
                <w:rFonts w:ascii="Calibri" w:hAnsi="Calibri" w:cs="Calibri"/>
                <w:sz w:val="22"/>
                <w:szCs w:val="22"/>
              </w:rPr>
              <w:t xml:space="preserve">adult denies factual information about a situation. For example, </w:t>
            </w:r>
            <w:proofErr w:type="spellStart"/>
            <w:proofErr w:type="gramStart"/>
            <w:r w:rsidRPr="00E95511">
              <w:rPr>
                <w:rFonts w:ascii="Calibri" w:hAnsi="Calibri" w:cs="Calibri"/>
                <w:sz w:val="22"/>
                <w:szCs w:val="22"/>
              </w:rPr>
              <w:t>a</w:t>
            </w:r>
            <w:proofErr w:type="spellEnd"/>
            <w:proofErr w:type="gramEnd"/>
            <w:r w:rsidRPr="00E95511">
              <w:rPr>
                <w:rFonts w:ascii="Calibri" w:hAnsi="Calibri" w:cs="Calibri"/>
                <w:sz w:val="22"/>
                <w:szCs w:val="22"/>
              </w:rPr>
              <w:t xml:space="preserve"> adult denying or refusing to accept that they are being financially abused. Here it is important to ensure that the evidence of harm is presented objectively, to support the person’s acceptance of it (e.g. providing documentary evidence of debts or financial abuse). If denial persists, it may be necessary to then respectfully question or challenge false beliefs or assumptions. If they continue to refute the evidence, then this would point to an inability to use or weigh relevant information. Conversely, if the adult accepts that they have been financially abused, the weight they attach to that information is a matter for them and will depend on their own values or outlook.</w:t>
            </w:r>
            <w:r w:rsidRPr="007600C0">
              <w:rPr>
                <w:rStyle w:val="FootnoteReference"/>
                <w:rFonts w:ascii="Calibri" w:hAnsi="Calibri" w:cs="Calibri"/>
                <w:sz w:val="22"/>
                <w:szCs w:val="22"/>
              </w:rPr>
              <w:footnoteReference w:id="8"/>
            </w:r>
            <w:r w:rsidRPr="00E95511">
              <w:rPr>
                <w:rFonts w:ascii="Calibri" w:hAnsi="Calibri" w:cs="Calibri"/>
                <w:sz w:val="22"/>
                <w:szCs w:val="22"/>
              </w:rPr>
              <w:t xml:space="preserve">  This may result in the adult at risk making an unwise but capacitated decision.</w:t>
            </w:r>
          </w:p>
          <w:p w14:paraId="436C6D5F" w14:textId="77777777" w:rsidR="00A33BC9" w:rsidRPr="00770CB8" w:rsidRDefault="00A33BC9" w:rsidP="00D64272">
            <w:pPr>
              <w:rPr>
                <w:rFonts w:ascii="Calibri" w:hAnsi="Calibri" w:cs="Calibri"/>
                <w:sz w:val="16"/>
                <w:szCs w:val="16"/>
              </w:rPr>
            </w:pPr>
          </w:p>
          <w:p w14:paraId="460CC12E" w14:textId="239145D6" w:rsidR="00A33BC9" w:rsidRPr="007600C0" w:rsidRDefault="00A33BC9" w:rsidP="00F77DFE">
            <w:pPr>
              <w:ind w:left="57"/>
              <w:rPr>
                <w:rFonts w:ascii="Calibri" w:hAnsi="Calibri" w:cs="Calibri"/>
                <w:sz w:val="22"/>
                <w:szCs w:val="22"/>
              </w:rPr>
            </w:pPr>
            <w:r w:rsidRPr="007600C0">
              <w:rPr>
                <w:rFonts w:ascii="Calibri" w:hAnsi="Calibri" w:cs="Calibri"/>
                <w:sz w:val="22"/>
                <w:szCs w:val="22"/>
              </w:rPr>
              <w:t xml:space="preserve">The second area of difficulty is where the </w:t>
            </w:r>
            <w:r w:rsidR="00F77DFE">
              <w:rPr>
                <w:rFonts w:ascii="Calibri" w:hAnsi="Calibri" w:cs="Calibri"/>
                <w:sz w:val="22"/>
                <w:szCs w:val="22"/>
              </w:rPr>
              <w:t xml:space="preserve">adult </w:t>
            </w:r>
            <w:r w:rsidRPr="007600C0">
              <w:rPr>
                <w:rFonts w:ascii="Calibri" w:hAnsi="Calibri" w:cs="Calibri"/>
                <w:sz w:val="22"/>
                <w:szCs w:val="22"/>
              </w:rPr>
              <w:t>gives coherent answers to questions but is then unable to translate their intentions into actions due to executive dysfunction. The</w:t>
            </w:r>
            <w:r w:rsidR="00F77DFE">
              <w:rPr>
                <w:rFonts w:ascii="Calibri" w:hAnsi="Calibri" w:cs="Calibri"/>
                <w:sz w:val="22"/>
                <w:szCs w:val="22"/>
              </w:rPr>
              <w:t xml:space="preserve"> adult</w:t>
            </w:r>
            <w:r w:rsidRPr="007600C0">
              <w:rPr>
                <w:rFonts w:ascii="Calibri" w:hAnsi="Calibri" w:cs="Calibri"/>
                <w:sz w:val="22"/>
                <w:szCs w:val="22"/>
              </w:rPr>
              <w:t xml:space="preserve"> says one thing but then does something else in practice. Executive functioning was recently described by a judge as, </w:t>
            </w:r>
            <w:r w:rsidRPr="007600C0">
              <w:rPr>
                <w:rFonts w:ascii="Calibri" w:hAnsi="Calibri" w:cs="Calibri"/>
                <w:i/>
                <w:iCs/>
                <w:sz w:val="22"/>
                <w:szCs w:val="22"/>
              </w:rPr>
              <w:t>‘...the ability to think, act, and solve problems, including the functions of the brain which help us learn new information, remember and retrieve the information we've learned in the past, and use this information to solve problems of everyday life</w:t>
            </w:r>
            <w:r w:rsidRPr="007600C0">
              <w:rPr>
                <w:rFonts w:ascii="Calibri" w:hAnsi="Calibri" w:cs="Calibri"/>
                <w:sz w:val="22"/>
                <w:szCs w:val="22"/>
              </w:rPr>
              <w:t>.’</w:t>
            </w:r>
            <w:r w:rsidRPr="007600C0">
              <w:rPr>
                <w:rStyle w:val="FootnoteReference"/>
                <w:rFonts w:ascii="Calibri" w:hAnsi="Calibri" w:cs="Calibri"/>
                <w:sz w:val="22"/>
                <w:szCs w:val="22"/>
              </w:rPr>
              <w:footnoteReference w:id="9"/>
            </w:r>
            <w:r w:rsidRPr="007600C0">
              <w:rPr>
                <w:rFonts w:ascii="Calibri" w:hAnsi="Calibri" w:cs="Calibri"/>
                <w:sz w:val="22"/>
                <w:szCs w:val="22"/>
              </w:rPr>
              <w:t xml:space="preserve"> </w:t>
            </w:r>
          </w:p>
          <w:p w14:paraId="725BEB6F" w14:textId="77777777" w:rsidR="00A33BC9" w:rsidRPr="00770CB8" w:rsidRDefault="00A33BC9" w:rsidP="00A33BC9">
            <w:pPr>
              <w:rPr>
                <w:rFonts w:ascii="Calibri" w:hAnsi="Calibri" w:cs="Calibri"/>
                <w:sz w:val="16"/>
                <w:szCs w:val="16"/>
              </w:rPr>
            </w:pPr>
          </w:p>
          <w:p w14:paraId="21D4E26F" w14:textId="5146C17C" w:rsidR="00EE0E6A" w:rsidRPr="007600C0" w:rsidRDefault="00A33BC9" w:rsidP="00810BCC">
            <w:pPr>
              <w:ind w:left="57"/>
              <w:rPr>
                <w:rFonts w:ascii="Calibri" w:hAnsi="Calibri" w:cs="Calibri"/>
                <w:sz w:val="22"/>
                <w:szCs w:val="22"/>
              </w:rPr>
            </w:pPr>
            <w:r w:rsidRPr="007600C0">
              <w:rPr>
                <w:rFonts w:ascii="Calibri" w:hAnsi="Calibri" w:cs="Calibri"/>
                <w:sz w:val="22"/>
                <w:szCs w:val="22"/>
              </w:rPr>
              <w:t xml:space="preserve">It may be necessary to gather further collateral information and ask further probing questions if there appears to be a mismatch between </w:t>
            </w:r>
            <w:r w:rsidR="00F77DFE">
              <w:rPr>
                <w:rFonts w:ascii="Calibri" w:hAnsi="Calibri" w:cs="Calibri"/>
                <w:sz w:val="22"/>
                <w:szCs w:val="22"/>
              </w:rPr>
              <w:t>the</w:t>
            </w:r>
            <w:r w:rsidRPr="007600C0">
              <w:rPr>
                <w:rFonts w:ascii="Calibri" w:hAnsi="Calibri" w:cs="Calibri"/>
                <w:sz w:val="22"/>
                <w:szCs w:val="22"/>
              </w:rPr>
              <w:t xml:space="preserve"> </w:t>
            </w:r>
            <w:r w:rsidR="00F77DFE">
              <w:rPr>
                <w:rFonts w:ascii="Calibri" w:hAnsi="Calibri" w:cs="Calibri"/>
                <w:sz w:val="22"/>
                <w:szCs w:val="22"/>
              </w:rPr>
              <w:t>adult</w:t>
            </w:r>
            <w:r w:rsidRPr="007600C0">
              <w:rPr>
                <w:rFonts w:ascii="Calibri" w:hAnsi="Calibri" w:cs="Calibri"/>
                <w:sz w:val="22"/>
                <w:szCs w:val="22"/>
              </w:rPr>
              <w:t xml:space="preserve">’s words and their actions. It would be legitimate to conclude that </w:t>
            </w:r>
            <w:r w:rsidR="00F77DFE">
              <w:rPr>
                <w:rFonts w:ascii="Calibri" w:hAnsi="Calibri" w:cs="Calibri"/>
                <w:sz w:val="22"/>
                <w:szCs w:val="22"/>
              </w:rPr>
              <w:t>the adult</w:t>
            </w:r>
            <w:r w:rsidRPr="007600C0">
              <w:rPr>
                <w:rFonts w:ascii="Calibri" w:hAnsi="Calibri" w:cs="Calibri"/>
                <w:sz w:val="22"/>
                <w:szCs w:val="22"/>
              </w:rPr>
              <w:t xml:space="preserve"> lacks capacity to make a decision if they are unaware of, or deny the fact that they cannot implement their stated intentions, or deny that when needed they are unable to bring to mind the information </w:t>
            </w:r>
            <w:r w:rsidR="000B7A9D">
              <w:rPr>
                <w:rFonts w:ascii="Calibri" w:hAnsi="Calibri" w:cs="Calibri"/>
                <w:sz w:val="22"/>
                <w:szCs w:val="22"/>
              </w:rPr>
              <w:t>required</w:t>
            </w:r>
            <w:r w:rsidRPr="007600C0">
              <w:rPr>
                <w:rFonts w:ascii="Calibri" w:hAnsi="Calibri" w:cs="Calibri"/>
                <w:sz w:val="22"/>
                <w:szCs w:val="22"/>
              </w:rPr>
              <w:t xml:space="preserve"> to implement a decision (e.g. due to impulsivity). However, it would only be legitimate to reach such a conclusion where there is clearly documented evidence of repeated mismatch.</w:t>
            </w:r>
            <w:r w:rsidRPr="007600C0">
              <w:rPr>
                <w:rStyle w:val="FootnoteReference"/>
                <w:rFonts w:ascii="Calibri" w:hAnsi="Calibri" w:cs="Calibri"/>
                <w:sz w:val="22"/>
                <w:szCs w:val="22"/>
              </w:rPr>
              <w:footnoteReference w:id="10"/>
            </w:r>
            <w:r w:rsidRPr="007600C0">
              <w:rPr>
                <w:rFonts w:ascii="Calibri" w:hAnsi="Calibri" w:cs="Calibri"/>
                <w:sz w:val="22"/>
                <w:szCs w:val="22"/>
              </w:rPr>
              <w:t xml:space="preserve"> For example, </w:t>
            </w:r>
            <w:r w:rsidR="00810BCC">
              <w:rPr>
                <w:rFonts w:ascii="Calibri" w:hAnsi="Calibri" w:cs="Calibri"/>
                <w:sz w:val="22"/>
                <w:szCs w:val="22"/>
              </w:rPr>
              <w:t xml:space="preserve">if </w:t>
            </w:r>
            <w:proofErr w:type="spellStart"/>
            <w:r w:rsidR="00F77DFE">
              <w:rPr>
                <w:rFonts w:ascii="Calibri" w:hAnsi="Calibri" w:cs="Calibri"/>
                <w:sz w:val="22"/>
                <w:szCs w:val="22"/>
              </w:rPr>
              <w:t>a</w:t>
            </w:r>
            <w:proofErr w:type="spellEnd"/>
            <w:r w:rsidR="00F77DFE">
              <w:rPr>
                <w:rFonts w:ascii="Calibri" w:hAnsi="Calibri" w:cs="Calibri"/>
                <w:sz w:val="22"/>
                <w:szCs w:val="22"/>
              </w:rPr>
              <w:t xml:space="preserve"> adult</w:t>
            </w:r>
            <w:r w:rsidR="00810BCC">
              <w:rPr>
                <w:rFonts w:ascii="Calibri" w:hAnsi="Calibri" w:cs="Calibri"/>
                <w:sz w:val="22"/>
                <w:szCs w:val="22"/>
              </w:rPr>
              <w:t xml:space="preserve"> understands </w:t>
            </w:r>
            <w:r w:rsidR="00F77DFE">
              <w:rPr>
                <w:rFonts w:ascii="Calibri" w:hAnsi="Calibri" w:cs="Calibri"/>
                <w:sz w:val="22"/>
                <w:szCs w:val="22"/>
              </w:rPr>
              <w:t>their income and outgoings and the importance of budgeting</w:t>
            </w:r>
            <w:r w:rsidR="00810BCC">
              <w:rPr>
                <w:rFonts w:ascii="Calibri" w:hAnsi="Calibri" w:cs="Calibri"/>
                <w:sz w:val="22"/>
                <w:szCs w:val="22"/>
              </w:rPr>
              <w:t xml:space="preserve"> </w:t>
            </w:r>
            <w:r w:rsidR="00D30E5A">
              <w:rPr>
                <w:rFonts w:ascii="Calibri" w:hAnsi="Calibri" w:cs="Calibri"/>
                <w:sz w:val="22"/>
                <w:szCs w:val="22"/>
              </w:rPr>
              <w:t xml:space="preserve">but </w:t>
            </w:r>
            <w:r w:rsidR="00F77DFE">
              <w:rPr>
                <w:rFonts w:ascii="Calibri" w:hAnsi="Calibri" w:cs="Calibri"/>
                <w:sz w:val="22"/>
                <w:szCs w:val="22"/>
              </w:rPr>
              <w:t>repeatedly</w:t>
            </w:r>
            <w:r w:rsidR="00810BCC">
              <w:rPr>
                <w:rFonts w:ascii="Calibri" w:hAnsi="Calibri" w:cs="Calibri"/>
                <w:sz w:val="22"/>
                <w:szCs w:val="22"/>
              </w:rPr>
              <w:t xml:space="preserve"> runs out of money</w:t>
            </w:r>
            <w:r w:rsidR="00D30E5A">
              <w:rPr>
                <w:rFonts w:ascii="Calibri" w:hAnsi="Calibri" w:cs="Calibri"/>
                <w:sz w:val="22"/>
                <w:szCs w:val="22"/>
              </w:rPr>
              <w:t>,</w:t>
            </w:r>
            <w:r w:rsidR="00810BCC">
              <w:rPr>
                <w:rFonts w:ascii="Calibri" w:hAnsi="Calibri" w:cs="Calibri"/>
                <w:sz w:val="22"/>
                <w:szCs w:val="22"/>
              </w:rPr>
              <w:t xml:space="preserve"> it would be appropriate to ask them the reasons why and explore the mismatch between their words and actions</w:t>
            </w:r>
            <w:r w:rsidRPr="007600C0">
              <w:rPr>
                <w:rFonts w:ascii="Calibri" w:hAnsi="Calibri" w:cs="Calibri"/>
                <w:sz w:val="22"/>
                <w:szCs w:val="22"/>
              </w:rPr>
              <w:t>. If they are aware of and accept their difficulties and the associated risks</w:t>
            </w:r>
            <w:r w:rsidR="00397A18">
              <w:rPr>
                <w:rFonts w:ascii="Calibri" w:hAnsi="Calibri" w:cs="Calibri"/>
                <w:sz w:val="22"/>
                <w:szCs w:val="22"/>
              </w:rPr>
              <w:t xml:space="preserve">, </w:t>
            </w:r>
            <w:r w:rsidRPr="007600C0">
              <w:rPr>
                <w:rFonts w:ascii="Calibri" w:hAnsi="Calibri" w:cs="Calibri"/>
                <w:sz w:val="22"/>
                <w:szCs w:val="22"/>
              </w:rPr>
              <w:t>but choose t</w:t>
            </w:r>
            <w:r w:rsidR="00810BCC">
              <w:rPr>
                <w:rFonts w:ascii="Calibri" w:hAnsi="Calibri" w:cs="Calibri"/>
                <w:sz w:val="22"/>
                <w:szCs w:val="22"/>
              </w:rPr>
              <w:t>o refuse support</w:t>
            </w:r>
            <w:r w:rsidR="007C1B03">
              <w:rPr>
                <w:rFonts w:ascii="Calibri" w:hAnsi="Calibri" w:cs="Calibri"/>
                <w:sz w:val="22"/>
                <w:szCs w:val="22"/>
              </w:rPr>
              <w:t xml:space="preserve"> </w:t>
            </w:r>
            <w:r w:rsidRPr="007600C0">
              <w:rPr>
                <w:rFonts w:ascii="Calibri" w:hAnsi="Calibri" w:cs="Calibri"/>
                <w:sz w:val="22"/>
                <w:szCs w:val="22"/>
              </w:rPr>
              <w:t>then this would be deemed an unwise decision rather than a lack of capacity.</w:t>
            </w:r>
          </w:p>
          <w:p w14:paraId="2D7B8314" w14:textId="77777777" w:rsidR="00EE0E6A" w:rsidRPr="00770CB8" w:rsidRDefault="00EE0E6A" w:rsidP="00454974">
            <w:pPr>
              <w:rPr>
                <w:rFonts w:asciiTheme="minorHAnsi" w:hAnsiTheme="minorHAnsi" w:cs="Arial"/>
                <w:sz w:val="16"/>
                <w:szCs w:val="16"/>
              </w:rPr>
            </w:pPr>
          </w:p>
          <w:p w14:paraId="766066CF" w14:textId="37D46F94" w:rsidR="00EE0E6A" w:rsidRDefault="00EE0E6A" w:rsidP="00454974">
            <w:pPr>
              <w:rPr>
                <w:rFonts w:asciiTheme="minorHAnsi" w:hAnsiTheme="minorHAnsi" w:cs="Arial"/>
                <w:b/>
                <w:bCs/>
                <w:sz w:val="28"/>
                <w:szCs w:val="28"/>
              </w:rPr>
            </w:pPr>
            <w:r w:rsidRPr="00072369">
              <w:rPr>
                <w:rFonts w:asciiTheme="minorHAnsi" w:hAnsiTheme="minorHAnsi" w:cs="Arial"/>
                <w:b/>
                <w:bCs/>
                <w:sz w:val="28"/>
                <w:szCs w:val="28"/>
              </w:rPr>
              <w:t>Communicate the decision</w:t>
            </w:r>
          </w:p>
          <w:p w14:paraId="6BC94972" w14:textId="5B47594A" w:rsidR="001670AE" w:rsidRDefault="001670AE" w:rsidP="00454974">
            <w:pPr>
              <w:rPr>
                <w:rFonts w:asciiTheme="minorHAnsi" w:hAnsiTheme="minorHAnsi" w:cs="Arial"/>
                <w:sz w:val="22"/>
                <w:szCs w:val="22"/>
              </w:rPr>
            </w:pPr>
            <w:r w:rsidRPr="00EE1078">
              <w:rPr>
                <w:rFonts w:asciiTheme="minorHAnsi" w:hAnsiTheme="minorHAnsi" w:cs="Arial"/>
                <w:sz w:val="22"/>
                <w:szCs w:val="22"/>
              </w:rPr>
              <w:t xml:space="preserve">To have capacity to </w:t>
            </w:r>
            <w:r w:rsidR="00C27260">
              <w:rPr>
                <w:rFonts w:asciiTheme="minorHAnsi" w:hAnsiTheme="minorHAnsi" w:cs="Arial"/>
                <w:sz w:val="22"/>
                <w:szCs w:val="22"/>
              </w:rPr>
              <w:t>manage financial affairs</w:t>
            </w:r>
            <w:r w:rsidRPr="00EE1078">
              <w:rPr>
                <w:rFonts w:asciiTheme="minorHAnsi" w:hAnsiTheme="minorHAnsi" w:cs="Arial"/>
                <w:sz w:val="22"/>
                <w:szCs w:val="22"/>
              </w:rPr>
              <w:t>, the adults needs to have a method of communication that is consistent and reliable enough to respon</w:t>
            </w:r>
            <w:r>
              <w:rPr>
                <w:rFonts w:asciiTheme="minorHAnsi" w:hAnsiTheme="minorHAnsi" w:cs="Arial"/>
                <w:sz w:val="22"/>
                <w:szCs w:val="22"/>
              </w:rPr>
              <w:t>d to</w:t>
            </w:r>
            <w:r w:rsidRPr="00EE1078">
              <w:rPr>
                <w:rFonts w:asciiTheme="minorHAnsi" w:hAnsiTheme="minorHAnsi" w:cs="Arial"/>
                <w:sz w:val="22"/>
                <w:szCs w:val="22"/>
              </w:rPr>
              <w:t xml:space="preserve"> questions and eliminate any ambiguity. </w:t>
            </w:r>
            <w:r w:rsidRPr="00EE1078">
              <w:rPr>
                <w:rFonts w:asciiTheme="minorHAnsi" w:hAnsiTheme="minorHAnsi" w:cs="Arial"/>
                <w:sz w:val="22"/>
                <w:szCs w:val="22"/>
                <w:lang w:val="en-US"/>
              </w:rPr>
              <w:t>This is an area where it is particularly important to show that you have taken practicable steps to facilitate</w:t>
            </w:r>
            <w:r w:rsidRPr="004D147E">
              <w:rPr>
                <w:rFonts w:asciiTheme="minorHAnsi" w:hAnsiTheme="minorHAnsi" w:cs="Arial"/>
                <w:sz w:val="22"/>
                <w:szCs w:val="22"/>
                <w:lang w:val="en-US"/>
              </w:rPr>
              <w:t xml:space="preserve"> communication. </w:t>
            </w:r>
            <w:r w:rsidRPr="004D147E">
              <w:rPr>
                <w:rFonts w:asciiTheme="minorHAnsi" w:hAnsiTheme="minorHAnsi" w:cs="Arial"/>
                <w:sz w:val="22"/>
                <w:szCs w:val="22"/>
              </w:rPr>
              <w:t>For example, reproducing as best as possible the manner by which they usually communicate, providing all necessary tools and aids, and enlisting the support of carers, friends or professionals who may be able to facilitate communication</w:t>
            </w:r>
            <w:r>
              <w:rPr>
                <w:rFonts w:asciiTheme="minorHAnsi" w:hAnsiTheme="minorHAnsi" w:cs="Arial"/>
                <w:sz w:val="22"/>
                <w:szCs w:val="22"/>
              </w:rPr>
              <w:t>.</w:t>
            </w:r>
          </w:p>
          <w:p w14:paraId="7C54208F" w14:textId="5FC77159" w:rsidR="000B761D" w:rsidRPr="00072369" w:rsidRDefault="000B761D" w:rsidP="00C27260">
            <w:pPr>
              <w:rPr>
                <w:rFonts w:asciiTheme="minorHAnsi" w:hAnsiTheme="minorHAnsi"/>
                <w:sz w:val="10"/>
                <w:szCs w:val="10"/>
              </w:rPr>
            </w:pPr>
          </w:p>
        </w:tc>
      </w:tr>
      <w:tr w:rsidR="000B761D" w:rsidRPr="00072369" w14:paraId="5C6D8AEC" w14:textId="77777777" w:rsidTr="00B0443E">
        <w:tc>
          <w:tcPr>
            <w:tcW w:w="10485" w:type="dxa"/>
            <w:shd w:val="clear" w:color="auto" w:fill="C5E0B3" w:themeFill="accent6" w:themeFillTint="66"/>
          </w:tcPr>
          <w:p w14:paraId="4463BCB6" w14:textId="77777777" w:rsidR="00816E64" w:rsidRPr="00072369" w:rsidRDefault="00816E64" w:rsidP="00072369">
            <w:pPr>
              <w:jc w:val="center"/>
              <w:rPr>
                <w:rFonts w:asciiTheme="minorHAnsi" w:hAnsiTheme="minorHAnsi" w:cs="Arial"/>
                <w:b/>
                <w:bCs/>
                <w:color w:val="000000"/>
                <w:sz w:val="10"/>
                <w:szCs w:val="10"/>
              </w:rPr>
            </w:pPr>
          </w:p>
          <w:p w14:paraId="06FD7638" w14:textId="77777777" w:rsidR="000B761D" w:rsidRPr="00072369" w:rsidRDefault="00EE0E6A" w:rsidP="00072369">
            <w:pPr>
              <w:jc w:val="center"/>
              <w:rPr>
                <w:rFonts w:asciiTheme="minorHAnsi" w:hAnsiTheme="minorHAnsi" w:cs="Arial"/>
                <w:b/>
                <w:bCs/>
                <w:color w:val="000000"/>
                <w:sz w:val="28"/>
                <w:szCs w:val="28"/>
              </w:rPr>
            </w:pPr>
            <w:r w:rsidRPr="00072369">
              <w:rPr>
                <w:rFonts w:asciiTheme="minorHAnsi" w:hAnsiTheme="minorHAnsi" w:cs="Arial"/>
                <w:b/>
                <w:bCs/>
                <w:color w:val="000000"/>
                <w:sz w:val="28"/>
                <w:szCs w:val="28"/>
              </w:rPr>
              <w:t>After the assessment</w:t>
            </w:r>
          </w:p>
          <w:p w14:paraId="6FEFC536" w14:textId="414B7612" w:rsidR="00816E64" w:rsidRPr="00072369" w:rsidRDefault="00816E64" w:rsidP="00072369">
            <w:pPr>
              <w:jc w:val="center"/>
              <w:rPr>
                <w:rFonts w:asciiTheme="minorHAnsi" w:hAnsiTheme="minorHAnsi"/>
                <w:sz w:val="10"/>
                <w:szCs w:val="10"/>
              </w:rPr>
            </w:pPr>
          </w:p>
        </w:tc>
      </w:tr>
      <w:tr w:rsidR="000B761D" w:rsidRPr="00816E64" w14:paraId="6E109AF4" w14:textId="77777777" w:rsidTr="00B0443E">
        <w:tc>
          <w:tcPr>
            <w:tcW w:w="10485" w:type="dxa"/>
            <w:tcBorders>
              <w:bottom w:val="single" w:sz="4" w:space="0" w:color="auto"/>
            </w:tcBorders>
          </w:tcPr>
          <w:p w14:paraId="0841335C" w14:textId="77777777" w:rsidR="00770CB8" w:rsidRPr="00770CB8" w:rsidRDefault="00770CB8" w:rsidP="00770CB8">
            <w:pPr>
              <w:rPr>
                <w:rFonts w:asciiTheme="minorHAnsi" w:hAnsiTheme="minorHAnsi" w:cs="Arial"/>
                <w:color w:val="000000"/>
                <w:sz w:val="10"/>
                <w:szCs w:val="10"/>
              </w:rPr>
            </w:pPr>
          </w:p>
          <w:p w14:paraId="79C6061E" w14:textId="234424B7" w:rsidR="00EE0E6A" w:rsidRPr="00816E64" w:rsidRDefault="00EE0E6A" w:rsidP="00770CB8">
            <w:pPr>
              <w:rPr>
                <w:rFonts w:asciiTheme="minorHAnsi" w:hAnsiTheme="minorHAnsi" w:cs="Arial"/>
                <w:color w:val="000000"/>
                <w:sz w:val="22"/>
                <w:szCs w:val="22"/>
              </w:rPr>
            </w:pPr>
            <w:r w:rsidRPr="00816E64">
              <w:rPr>
                <w:rFonts w:asciiTheme="minorHAnsi" w:hAnsiTheme="minorHAnsi" w:cs="Arial"/>
                <w:color w:val="000000"/>
                <w:sz w:val="22"/>
                <w:szCs w:val="22"/>
              </w:rPr>
              <w:t>Reflect upon the following points:</w:t>
            </w:r>
          </w:p>
          <w:p w14:paraId="57CF852F" w14:textId="77777777" w:rsidR="00C5741B" w:rsidRDefault="00EE0E6A" w:rsidP="00072369">
            <w:pPr>
              <w:pStyle w:val="ListParagraph"/>
              <w:numPr>
                <w:ilvl w:val="0"/>
                <w:numId w:val="11"/>
              </w:numPr>
              <w:rPr>
                <w:rFonts w:asciiTheme="minorHAnsi" w:hAnsiTheme="minorHAnsi" w:cs="Arial"/>
                <w:color w:val="000000"/>
                <w:sz w:val="22"/>
                <w:szCs w:val="22"/>
              </w:rPr>
            </w:pPr>
            <w:r w:rsidRPr="00816E64">
              <w:rPr>
                <w:rFonts w:asciiTheme="minorHAnsi" w:hAnsiTheme="minorHAnsi" w:cs="Arial"/>
                <w:color w:val="000000"/>
                <w:sz w:val="22"/>
                <w:szCs w:val="22"/>
              </w:rPr>
              <w:t xml:space="preserve">Do you have enough information to displace the presumption of capacity? </w:t>
            </w:r>
          </w:p>
          <w:p w14:paraId="3CE5B32C" w14:textId="07039B0F" w:rsidR="00EE0E6A" w:rsidRPr="00816E64" w:rsidRDefault="00EE0E6A" w:rsidP="00072369">
            <w:pPr>
              <w:pStyle w:val="ListParagraph"/>
              <w:numPr>
                <w:ilvl w:val="0"/>
                <w:numId w:val="11"/>
              </w:numPr>
              <w:rPr>
                <w:rFonts w:asciiTheme="minorHAnsi" w:hAnsiTheme="minorHAnsi" w:cs="Arial"/>
                <w:color w:val="000000"/>
                <w:sz w:val="22"/>
                <w:szCs w:val="22"/>
              </w:rPr>
            </w:pPr>
            <w:r w:rsidRPr="00816E64">
              <w:rPr>
                <w:rFonts w:asciiTheme="minorHAnsi" w:hAnsiTheme="minorHAnsi" w:cs="Arial"/>
                <w:color w:val="000000"/>
                <w:sz w:val="22"/>
                <w:szCs w:val="22"/>
              </w:rPr>
              <w:t>Do you need to carry out further visits</w:t>
            </w:r>
            <w:r w:rsidR="00C5741B">
              <w:rPr>
                <w:rFonts w:asciiTheme="minorHAnsi" w:hAnsiTheme="minorHAnsi" w:cs="Arial"/>
                <w:color w:val="000000"/>
                <w:sz w:val="22"/>
                <w:szCs w:val="22"/>
              </w:rPr>
              <w:t xml:space="preserve"> to make a judgment</w:t>
            </w:r>
            <w:r w:rsidRPr="00816E64">
              <w:rPr>
                <w:rFonts w:asciiTheme="minorHAnsi" w:hAnsiTheme="minorHAnsi" w:cs="Arial"/>
                <w:color w:val="000000"/>
                <w:sz w:val="22"/>
                <w:szCs w:val="22"/>
              </w:rPr>
              <w:t xml:space="preserve">? </w:t>
            </w:r>
          </w:p>
          <w:p w14:paraId="531765A4" w14:textId="77777777" w:rsidR="00EE0E6A" w:rsidRPr="00816E64" w:rsidRDefault="00EE0E6A" w:rsidP="00072369">
            <w:pPr>
              <w:pStyle w:val="ListParagraph"/>
              <w:numPr>
                <w:ilvl w:val="0"/>
                <w:numId w:val="11"/>
              </w:numPr>
              <w:rPr>
                <w:rFonts w:asciiTheme="minorHAnsi" w:hAnsiTheme="minorHAnsi" w:cs="Arial"/>
                <w:color w:val="000000"/>
                <w:sz w:val="22"/>
                <w:szCs w:val="22"/>
              </w:rPr>
            </w:pPr>
            <w:r w:rsidRPr="00816E64">
              <w:rPr>
                <w:rFonts w:asciiTheme="minorHAnsi" w:hAnsiTheme="minorHAnsi" w:cs="Arial"/>
                <w:color w:val="000000"/>
                <w:sz w:val="22"/>
                <w:szCs w:val="22"/>
              </w:rPr>
              <w:t>Remember the assessment of mental capacity is made on the balance of probabilities.</w:t>
            </w:r>
          </w:p>
          <w:p w14:paraId="5D2D74A0" w14:textId="5D5F45D3" w:rsidR="000B761D" w:rsidRDefault="00EE0E6A" w:rsidP="00072369">
            <w:pPr>
              <w:pStyle w:val="ListParagraph"/>
              <w:numPr>
                <w:ilvl w:val="0"/>
                <w:numId w:val="11"/>
              </w:numPr>
              <w:rPr>
                <w:rFonts w:asciiTheme="minorHAnsi" w:hAnsiTheme="minorHAnsi" w:cs="Arial"/>
                <w:color w:val="000000"/>
                <w:sz w:val="22"/>
                <w:szCs w:val="22"/>
              </w:rPr>
            </w:pPr>
            <w:r w:rsidRPr="00816E64">
              <w:rPr>
                <w:rFonts w:asciiTheme="minorHAnsi" w:hAnsiTheme="minorHAnsi" w:cs="Arial"/>
                <w:color w:val="000000"/>
                <w:sz w:val="22"/>
                <w:szCs w:val="22"/>
              </w:rPr>
              <w:t>Have you established the causative nexus (e.g. the causal link between inability to decide and the identified impairment of or disturbance in functioning of the mind or brain)? A formal diagnosis is not required.</w:t>
            </w:r>
          </w:p>
          <w:p w14:paraId="2B069B53" w14:textId="77777777" w:rsidR="00770CB8" w:rsidRPr="00770CB8" w:rsidRDefault="00770CB8" w:rsidP="00770CB8">
            <w:pPr>
              <w:ind w:left="57"/>
              <w:rPr>
                <w:rFonts w:asciiTheme="minorHAnsi" w:hAnsiTheme="minorHAnsi" w:cs="Arial"/>
                <w:color w:val="000000"/>
                <w:sz w:val="10"/>
                <w:szCs w:val="10"/>
              </w:rPr>
            </w:pPr>
          </w:p>
          <w:p w14:paraId="2E437C9F" w14:textId="3C2B1E12" w:rsidR="00072369" w:rsidRPr="00072369" w:rsidRDefault="00072369" w:rsidP="00072369">
            <w:pPr>
              <w:rPr>
                <w:rFonts w:asciiTheme="minorHAnsi" w:hAnsiTheme="minorHAnsi" w:cs="Arial"/>
                <w:color w:val="000000"/>
                <w:sz w:val="10"/>
                <w:szCs w:val="10"/>
              </w:rPr>
            </w:pPr>
          </w:p>
        </w:tc>
      </w:tr>
      <w:tr w:rsidR="000B761D" w:rsidRPr="00072369" w14:paraId="6763CB94" w14:textId="77777777" w:rsidTr="00B0443E">
        <w:tc>
          <w:tcPr>
            <w:tcW w:w="10485" w:type="dxa"/>
            <w:shd w:val="clear" w:color="auto" w:fill="C5E0B3" w:themeFill="accent6" w:themeFillTint="66"/>
          </w:tcPr>
          <w:p w14:paraId="3D2B0AC2" w14:textId="77777777" w:rsidR="00816E64" w:rsidRPr="00072369" w:rsidRDefault="00816E64" w:rsidP="00072369">
            <w:pPr>
              <w:ind w:left="57"/>
              <w:jc w:val="center"/>
              <w:rPr>
                <w:rFonts w:asciiTheme="minorHAnsi" w:hAnsiTheme="minorHAnsi" w:cs="Arial"/>
                <w:b/>
                <w:bCs/>
                <w:color w:val="000000"/>
                <w:sz w:val="10"/>
                <w:szCs w:val="10"/>
              </w:rPr>
            </w:pPr>
          </w:p>
          <w:p w14:paraId="76EA1B30" w14:textId="77777777" w:rsidR="000B761D" w:rsidRPr="00072369" w:rsidRDefault="00EE0E6A" w:rsidP="00072369">
            <w:pPr>
              <w:ind w:left="57"/>
              <w:jc w:val="center"/>
              <w:rPr>
                <w:rFonts w:asciiTheme="minorHAnsi" w:hAnsiTheme="minorHAnsi" w:cs="Arial"/>
                <w:b/>
                <w:bCs/>
                <w:color w:val="000000"/>
                <w:sz w:val="28"/>
                <w:szCs w:val="28"/>
              </w:rPr>
            </w:pPr>
            <w:r w:rsidRPr="00072369">
              <w:rPr>
                <w:rFonts w:asciiTheme="minorHAnsi" w:hAnsiTheme="minorHAnsi" w:cs="Arial"/>
                <w:b/>
                <w:bCs/>
                <w:color w:val="000000"/>
                <w:sz w:val="28"/>
                <w:szCs w:val="28"/>
              </w:rPr>
              <w:t>Outcomes</w:t>
            </w:r>
          </w:p>
          <w:p w14:paraId="0E156F84" w14:textId="37489788" w:rsidR="00816E64" w:rsidRPr="00072369" w:rsidRDefault="00816E64" w:rsidP="00072369">
            <w:pPr>
              <w:ind w:left="57"/>
              <w:jc w:val="center"/>
              <w:rPr>
                <w:rFonts w:asciiTheme="minorHAnsi" w:hAnsiTheme="minorHAnsi" w:cs="Arial"/>
                <w:b/>
                <w:bCs/>
                <w:color w:val="000000"/>
                <w:sz w:val="10"/>
                <w:szCs w:val="10"/>
              </w:rPr>
            </w:pPr>
          </w:p>
        </w:tc>
      </w:tr>
      <w:tr w:rsidR="000B761D" w:rsidRPr="00816E64" w14:paraId="7E371F64" w14:textId="77777777" w:rsidTr="00770CB8">
        <w:trPr>
          <w:trHeight w:val="6314"/>
        </w:trPr>
        <w:tc>
          <w:tcPr>
            <w:tcW w:w="10485" w:type="dxa"/>
          </w:tcPr>
          <w:p w14:paraId="59EB16DF" w14:textId="136F19BA" w:rsidR="00770CB8" w:rsidRPr="00770CB8" w:rsidRDefault="00770CB8" w:rsidP="005C0529">
            <w:pPr>
              <w:rPr>
                <w:rFonts w:asciiTheme="minorHAnsi" w:hAnsiTheme="minorHAnsi" w:cs="Arial"/>
                <w:b/>
                <w:bCs/>
                <w:color w:val="000000"/>
                <w:sz w:val="10"/>
                <w:szCs w:val="10"/>
              </w:rPr>
            </w:pPr>
          </w:p>
          <w:p w14:paraId="0EF9EA1D" w14:textId="4FDAFAE4" w:rsidR="00770CB8" w:rsidRDefault="00770CB8" w:rsidP="005C0529">
            <w:pPr>
              <w:rPr>
                <w:rFonts w:asciiTheme="minorHAnsi" w:hAnsiTheme="minorHAnsi" w:cs="Arial"/>
                <w:b/>
                <w:bCs/>
                <w:color w:val="000000"/>
                <w:sz w:val="22"/>
                <w:szCs w:val="22"/>
              </w:rPr>
            </w:pPr>
            <w:r>
              <w:rPr>
                <w:rFonts w:asciiTheme="minorHAnsi" w:hAnsiTheme="minorHAnsi" w:cs="Arial"/>
                <w:b/>
                <w:bCs/>
                <w:color w:val="000000"/>
                <w:sz w:val="22"/>
                <w:szCs w:val="22"/>
              </w:rPr>
              <w:t xml:space="preserve">1. </w:t>
            </w:r>
            <w:r w:rsidR="00EE0E6A" w:rsidRPr="00816E64">
              <w:rPr>
                <w:rFonts w:asciiTheme="minorHAnsi" w:hAnsiTheme="minorHAnsi" w:cs="Arial"/>
                <w:b/>
                <w:bCs/>
                <w:color w:val="000000"/>
                <w:sz w:val="22"/>
                <w:szCs w:val="22"/>
              </w:rPr>
              <w:t xml:space="preserve">The </w:t>
            </w:r>
            <w:r w:rsidR="00F77DFE">
              <w:rPr>
                <w:rFonts w:asciiTheme="minorHAnsi" w:hAnsiTheme="minorHAnsi" w:cs="Arial"/>
                <w:b/>
                <w:bCs/>
                <w:color w:val="000000"/>
                <w:sz w:val="22"/>
                <w:szCs w:val="22"/>
              </w:rPr>
              <w:t>adult</w:t>
            </w:r>
            <w:r w:rsidR="00EE0E6A" w:rsidRPr="00816E64">
              <w:rPr>
                <w:rFonts w:asciiTheme="minorHAnsi" w:hAnsiTheme="minorHAnsi" w:cs="Arial"/>
                <w:b/>
                <w:bCs/>
                <w:color w:val="000000"/>
                <w:sz w:val="22"/>
                <w:szCs w:val="22"/>
              </w:rPr>
              <w:t xml:space="preserve"> has mental capacity </w:t>
            </w:r>
            <w:r w:rsidR="00F77DFE">
              <w:rPr>
                <w:rFonts w:asciiTheme="minorHAnsi" w:hAnsiTheme="minorHAnsi" w:cs="Arial"/>
                <w:b/>
                <w:bCs/>
                <w:color w:val="000000"/>
                <w:sz w:val="22"/>
                <w:szCs w:val="22"/>
              </w:rPr>
              <w:t>to manage their financial affairs</w:t>
            </w:r>
          </w:p>
          <w:p w14:paraId="2634E392" w14:textId="77777777" w:rsidR="00770CB8" w:rsidRPr="00770CB8" w:rsidRDefault="00770CB8" w:rsidP="005C0529">
            <w:pPr>
              <w:rPr>
                <w:rFonts w:asciiTheme="minorHAnsi" w:hAnsiTheme="minorHAnsi" w:cs="Arial"/>
                <w:b/>
                <w:bCs/>
                <w:color w:val="000000"/>
                <w:sz w:val="10"/>
                <w:szCs w:val="10"/>
              </w:rPr>
            </w:pPr>
          </w:p>
          <w:p w14:paraId="471656FB" w14:textId="7B6E41B0" w:rsidR="00C84A2A" w:rsidRDefault="00EE0E6A" w:rsidP="005C0529">
            <w:pPr>
              <w:rPr>
                <w:rFonts w:asciiTheme="minorHAnsi" w:hAnsiTheme="minorHAnsi" w:cs="Arial"/>
                <w:color w:val="000000"/>
                <w:sz w:val="22"/>
                <w:szCs w:val="22"/>
              </w:rPr>
            </w:pPr>
            <w:r w:rsidRPr="00816E64">
              <w:rPr>
                <w:rFonts w:asciiTheme="minorHAnsi" w:hAnsiTheme="minorHAnsi" w:cs="Arial"/>
                <w:color w:val="000000"/>
                <w:sz w:val="22"/>
                <w:szCs w:val="22"/>
              </w:rPr>
              <w:t>That is the end of the MCA at this point. Staff can still support and provide advice and guidance</w:t>
            </w:r>
            <w:r w:rsidR="007E4C2F">
              <w:rPr>
                <w:rFonts w:asciiTheme="minorHAnsi" w:hAnsiTheme="minorHAnsi" w:cs="Arial"/>
                <w:color w:val="000000"/>
                <w:sz w:val="22"/>
                <w:szCs w:val="22"/>
              </w:rPr>
              <w:t xml:space="preserve"> and this may include supporting the </w:t>
            </w:r>
            <w:r w:rsidR="00CF25B9">
              <w:rPr>
                <w:rFonts w:asciiTheme="minorHAnsi" w:hAnsiTheme="minorHAnsi" w:cs="Arial"/>
                <w:color w:val="000000"/>
                <w:sz w:val="22"/>
                <w:szCs w:val="22"/>
              </w:rPr>
              <w:t xml:space="preserve">adult </w:t>
            </w:r>
            <w:r w:rsidR="007E4C2F">
              <w:rPr>
                <w:rFonts w:asciiTheme="minorHAnsi" w:hAnsiTheme="minorHAnsi" w:cs="Arial"/>
                <w:color w:val="000000"/>
                <w:sz w:val="22"/>
                <w:szCs w:val="22"/>
              </w:rPr>
              <w:t xml:space="preserve">to make a Lasting Power of Attorney for Property </w:t>
            </w:r>
            <w:r w:rsidR="002D35BB">
              <w:rPr>
                <w:rFonts w:asciiTheme="minorHAnsi" w:hAnsiTheme="minorHAnsi" w:cs="Arial"/>
                <w:color w:val="000000"/>
                <w:sz w:val="22"/>
                <w:szCs w:val="22"/>
              </w:rPr>
              <w:t>and</w:t>
            </w:r>
            <w:r w:rsidR="007E4C2F">
              <w:rPr>
                <w:rFonts w:asciiTheme="minorHAnsi" w:hAnsiTheme="minorHAnsi" w:cs="Arial"/>
                <w:color w:val="000000"/>
                <w:sz w:val="22"/>
                <w:szCs w:val="22"/>
              </w:rPr>
              <w:t xml:space="preserve"> Financial affairs</w:t>
            </w:r>
            <w:r w:rsidR="00C84A2A">
              <w:rPr>
                <w:rFonts w:asciiTheme="minorHAnsi" w:hAnsiTheme="minorHAnsi" w:cs="Arial"/>
                <w:color w:val="000000"/>
                <w:sz w:val="22"/>
                <w:szCs w:val="22"/>
              </w:rPr>
              <w:t xml:space="preserve"> </w:t>
            </w:r>
            <w:r w:rsidR="00904566">
              <w:rPr>
                <w:rFonts w:asciiTheme="minorHAnsi" w:hAnsiTheme="minorHAnsi" w:cs="Arial"/>
                <w:color w:val="000000"/>
                <w:sz w:val="22"/>
                <w:szCs w:val="22"/>
              </w:rPr>
              <w:t xml:space="preserve">(this </w:t>
            </w:r>
            <w:r w:rsidR="00904566" w:rsidRPr="00904566">
              <w:rPr>
                <w:rFonts w:asciiTheme="minorHAnsi" w:hAnsiTheme="minorHAnsi" w:cs="Arial"/>
                <w:b/>
                <w:bCs/>
                <w:color w:val="000000"/>
                <w:sz w:val="22"/>
                <w:szCs w:val="22"/>
              </w:rPr>
              <w:t>doe</w:t>
            </w:r>
            <w:r w:rsidR="00904566">
              <w:rPr>
                <w:rFonts w:asciiTheme="minorHAnsi" w:hAnsiTheme="minorHAnsi" w:cs="Arial"/>
                <w:b/>
                <w:bCs/>
                <w:color w:val="000000"/>
                <w:sz w:val="22"/>
                <w:szCs w:val="22"/>
              </w:rPr>
              <w:t xml:space="preserve">s not </w:t>
            </w:r>
            <w:r w:rsidR="00071793" w:rsidRPr="00071793">
              <w:rPr>
                <w:rFonts w:asciiTheme="minorHAnsi" w:hAnsiTheme="minorHAnsi" w:cs="Arial"/>
                <w:color w:val="000000"/>
                <w:sz w:val="22"/>
                <w:szCs w:val="22"/>
              </w:rPr>
              <w:t>necessarily</w:t>
            </w:r>
            <w:r w:rsidR="00071793">
              <w:rPr>
                <w:rFonts w:asciiTheme="minorHAnsi" w:hAnsiTheme="minorHAnsi" w:cs="Arial"/>
                <w:b/>
                <w:bCs/>
                <w:color w:val="000000"/>
                <w:sz w:val="22"/>
                <w:szCs w:val="22"/>
              </w:rPr>
              <w:t xml:space="preserve"> </w:t>
            </w:r>
            <w:r w:rsidR="00904566">
              <w:rPr>
                <w:rFonts w:asciiTheme="minorHAnsi" w:hAnsiTheme="minorHAnsi" w:cs="Arial"/>
                <w:color w:val="000000"/>
                <w:sz w:val="22"/>
                <w:szCs w:val="22"/>
              </w:rPr>
              <w:t>require a solicitor</w:t>
            </w:r>
            <w:r w:rsidR="00415148">
              <w:rPr>
                <w:rFonts w:asciiTheme="minorHAnsi" w:hAnsiTheme="minorHAnsi" w:cs="Arial"/>
                <w:color w:val="000000"/>
                <w:sz w:val="22"/>
                <w:szCs w:val="22"/>
              </w:rPr>
              <w:t xml:space="preserve">, and there are no ethical or legal barriers to a social worker supporting someone to make </w:t>
            </w:r>
            <w:r w:rsidR="00566317">
              <w:rPr>
                <w:rFonts w:asciiTheme="minorHAnsi" w:hAnsiTheme="minorHAnsi" w:cs="Arial"/>
                <w:color w:val="000000"/>
                <w:sz w:val="22"/>
                <w:szCs w:val="22"/>
              </w:rPr>
              <w:t xml:space="preserve">an </w:t>
            </w:r>
            <w:r w:rsidR="00415148">
              <w:rPr>
                <w:rFonts w:asciiTheme="minorHAnsi" w:hAnsiTheme="minorHAnsi" w:cs="Arial"/>
                <w:color w:val="000000"/>
                <w:sz w:val="22"/>
                <w:szCs w:val="22"/>
              </w:rPr>
              <w:t>LPA</w:t>
            </w:r>
            <w:r w:rsidR="00904566">
              <w:rPr>
                <w:rFonts w:asciiTheme="minorHAnsi" w:hAnsiTheme="minorHAnsi" w:cs="Arial"/>
                <w:color w:val="000000"/>
                <w:sz w:val="22"/>
                <w:szCs w:val="22"/>
              </w:rPr>
              <w:t xml:space="preserve">) </w:t>
            </w:r>
            <w:r w:rsidR="00C84A2A">
              <w:rPr>
                <w:rFonts w:asciiTheme="minorHAnsi" w:hAnsiTheme="minorHAnsi" w:cs="Arial"/>
                <w:color w:val="000000"/>
                <w:sz w:val="22"/>
                <w:szCs w:val="22"/>
              </w:rPr>
              <w:t>and</w:t>
            </w:r>
            <w:r w:rsidR="008D5C30">
              <w:rPr>
                <w:rFonts w:asciiTheme="minorHAnsi" w:hAnsiTheme="minorHAnsi" w:cs="Arial"/>
                <w:color w:val="000000"/>
                <w:sz w:val="22"/>
                <w:szCs w:val="22"/>
              </w:rPr>
              <w:t>/or</w:t>
            </w:r>
            <w:r w:rsidR="00C84A2A">
              <w:rPr>
                <w:rFonts w:asciiTheme="minorHAnsi" w:hAnsiTheme="minorHAnsi" w:cs="Arial"/>
                <w:color w:val="000000"/>
                <w:sz w:val="22"/>
                <w:szCs w:val="22"/>
              </w:rPr>
              <w:t xml:space="preserve"> supporting the </w:t>
            </w:r>
            <w:r w:rsidR="00CF25B9">
              <w:rPr>
                <w:rFonts w:asciiTheme="minorHAnsi" w:hAnsiTheme="minorHAnsi" w:cs="Arial"/>
                <w:color w:val="000000"/>
                <w:sz w:val="22"/>
                <w:szCs w:val="22"/>
              </w:rPr>
              <w:t>adult</w:t>
            </w:r>
            <w:r w:rsidR="00C84A2A">
              <w:rPr>
                <w:rFonts w:asciiTheme="minorHAnsi" w:hAnsiTheme="minorHAnsi" w:cs="Arial"/>
                <w:color w:val="000000"/>
                <w:sz w:val="22"/>
                <w:szCs w:val="22"/>
              </w:rPr>
              <w:t xml:space="preserve"> to report </w:t>
            </w:r>
            <w:r w:rsidR="008D5C30">
              <w:rPr>
                <w:rFonts w:asciiTheme="minorHAnsi" w:hAnsiTheme="minorHAnsi" w:cs="Arial"/>
                <w:color w:val="000000"/>
                <w:sz w:val="22"/>
                <w:szCs w:val="22"/>
              </w:rPr>
              <w:t xml:space="preserve">any </w:t>
            </w:r>
            <w:r w:rsidR="00C84A2A">
              <w:rPr>
                <w:rFonts w:asciiTheme="minorHAnsi" w:hAnsiTheme="minorHAnsi" w:cs="Arial"/>
                <w:color w:val="000000"/>
                <w:sz w:val="22"/>
                <w:szCs w:val="22"/>
              </w:rPr>
              <w:t xml:space="preserve">financial abuse to the Police if it appears that a crime has been committed. Please note </w:t>
            </w:r>
            <w:r w:rsidR="00C00B0F">
              <w:rPr>
                <w:rFonts w:asciiTheme="minorHAnsi" w:hAnsiTheme="minorHAnsi" w:cs="Arial"/>
                <w:color w:val="000000"/>
                <w:sz w:val="22"/>
                <w:szCs w:val="22"/>
              </w:rPr>
              <w:t xml:space="preserve">that any financial abuse which potentially affects other people (children or adults) </w:t>
            </w:r>
            <w:r w:rsidR="00C00B0F" w:rsidRPr="00D64272">
              <w:rPr>
                <w:rFonts w:asciiTheme="minorHAnsi" w:hAnsiTheme="minorHAnsi" w:cs="Arial"/>
                <w:b/>
                <w:bCs/>
                <w:color w:val="000000"/>
                <w:sz w:val="22"/>
                <w:szCs w:val="22"/>
              </w:rPr>
              <w:t>must</w:t>
            </w:r>
            <w:r w:rsidR="00C00B0F">
              <w:rPr>
                <w:rFonts w:asciiTheme="minorHAnsi" w:hAnsiTheme="minorHAnsi" w:cs="Arial"/>
                <w:color w:val="000000"/>
                <w:sz w:val="22"/>
                <w:szCs w:val="22"/>
              </w:rPr>
              <w:t xml:space="preserve"> be reported to the appropriate agency (e.g. the Police and/or Trading Standards in the case of rogue traders) irrespective of the adult’s capacity to consent to this.</w:t>
            </w:r>
            <w:r w:rsidR="00973059">
              <w:rPr>
                <w:rStyle w:val="FootnoteReference"/>
                <w:rFonts w:asciiTheme="minorHAnsi" w:hAnsiTheme="minorHAnsi" w:cs="Arial"/>
                <w:color w:val="000000"/>
                <w:sz w:val="22"/>
                <w:szCs w:val="22"/>
              </w:rPr>
              <w:footnoteReference w:id="11"/>
            </w:r>
            <w:r w:rsidR="00C00B0F">
              <w:rPr>
                <w:rFonts w:asciiTheme="minorHAnsi" w:hAnsiTheme="minorHAnsi" w:cs="Arial"/>
                <w:color w:val="000000"/>
                <w:sz w:val="22"/>
                <w:szCs w:val="22"/>
              </w:rPr>
              <w:t xml:space="preserve"> </w:t>
            </w:r>
          </w:p>
          <w:p w14:paraId="700DBBE5" w14:textId="77777777" w:rsidR="00C84A2A" w:rsidRDefault="00C84A2A" w:rsidP="005C0529">
            <w:pPr>
              <w:rPr>
                <w:rFonts w:asciiTheme="minorHAnsi" w:hAnsiTheme="minorHAnsi" w:cs="Arial"/>
                <w:color w:val="000000"/>
                <w:sz w:val="22"/>
                <w:szCs w:val="22"/>
              </w:rPr>
            </w:pPr>
          </w:p>
          <w:p w14:paraId="06F5112E" w14:textId="4433BF27" w:rsidR="007E4C2F" w:rsidRPr="000E626A" w:rsidRDefault="007E4C2F" w:rsidP="005C0529">
            <w:pPr>
              <w:rPr>
                <w:rFonts w:asciiTheme="minorHAnsi" w:hAnsiTheme="minorHAnsi" w:cs="Arial"/>
                <w:b/>
                <w:bCs/>
                <w:color w:val="000000"/>
                <w:sz w:val="22"/>
                <w:szCs w:val="22"/>
              </w:rPr>
            </w:pPr>
            <w:r w:rsidRPr="000E626A">
              <w:rPr>
                <w:rFonts w:asciiTheme="minorHAnsi" w:hAnsiTheme="minorHAnsi" w:cs="Arial"/>
                <w:color w:val="000000"/>
                <w:sz w:val="22"/>
                <w:szCs w:val="22"/>
              </w:rPr>
              <w:t xml:space="preserve">If the adult </w:t>
            </w:r>
            <w:r w:rsidRPr="00F22A85">
              <w:rPr>
                <w:rFonts w:asciiTheme="minorHAnsi" w:hAnsiTheme="minorHAnsi" w:cs="Arial"/>
                <w:b/>
                <w:bCs/>
                <w:color w:val="000000"/>
                <w:sz w:val="22"/>
                <w:szCs w:val="22"/>
              </w:rPr>
              <w:t>has</w:t>
            </w:r>
            <w:r w:rsidRPr="000E626A">
              <w:rPr>
                <w:rFonts w:asciiTheme="minorHAnsi" w:hAnsiTheme="minorHAnsi" w:cs="Arial"/>
                <w:color w:val="000000"/>
                <w:sz w:val="22"/>
                <w:szCs w:val="22"/>
              </w:rPr>
              <w:t xml:space="preserve"> </w:t>
            </w:r>
            <w:r w:rsidRPr="00F22A85">
              <w:rPr>
                <w:rFonts w:asciiTheme="minorHAnsi" w:hAnsiTheme="minorHAnsi" w:cs="Arial"/>
                <w:color w:val="000000"/>
                <w:sz w:val="22"/>
                <w:szCs w:val="22"/>
              </w:rPr>
              <w:t>mental capacity</w:t>
            </w:r>
            <w:r w:rsidRPr="000E626A">
              <w:rPr>
                <w:rFonts w:asciiTheme="minorHAnsi" w:hAnsiTheme="minorHAnsi" w:cs="Arial"/>
                <w:color w:val="000000"/>
                <w:sz w:val="22"/>
                <w:szCs w:val="22"/>
              </w:rPr>
              <w:t xml:space="preserve"> to </w:t>
            </w:r>
            <w:r>
              <w:rPr>
                <w:rFonts w:asciiTheme="minorHAnsi" w:hAnsiTheme="minorHAnsi" w:cs="Arial"/>
                <w:color w:val="000000"/>
                <w:sz w:val="22"/>
                <w:szCs w:val="22"/>
              </w:rPr>
              <w:t>manage their financial affairs</w:t>
            </w:r>
            <w:r w:rsidRPr="000E626A">
              <w:rPr>
                <w:rFonts w:asciiTheme="minorHAnsi" w:hAnsiTheme="minorHAnsi" w:cs="Arial"/>
                <w:color w:val="000000"/>
                <w:sz w:val="22"/>
                <w:szCs w:val="22"/>
              </w:rPr>
              <w:t>, have you considered whether their decision</w:t>
            </w:r>
            <w:r w:rsidR="004E0F96">
              <w:rPr>
                <w:rFonts w:asciiTheme="minorHAnsi" w:hAnsiTheme="minorHAnsi" w:cs="Arial"/>
                <w:color w:val="000000"/>
                <w:sz w:val="22"/>
                <w:szCs w:val="22"/>
              </w:rPr>
              <w:t>-</w:t>
            </w:r>
            <w:r w:rsidRPr="000E626A">
              <w:rPr>
                <w:rFonts w:asciiTheme="minorHAnsi" w:hAnsiTheme="minorHAnsi" w:cs="Arial"/>
                <w:color w:val="000000"/>
                <w:sz w:val="22"/>
                <w:szCs w:val="22"/>
              </w:rPr>
              <w:t>making is affected by coercion, constraint or undue influence? If so, it may be possible for the local authority to bring proceedings under the Inherent Jurisdiction of the High Court. Speak to your manager about this.</w:t>
            </w:r>
          </w:p>
          <w:p w14:paraId="16332A2A" w14:textId="77777777" w:rsidR="007E4C2F" w:rsidRDefault="007E4C2F" w:rsidP="005C0529">
            <w:pPr>
              <w:rPr>
                <w:rFonts w:asciiTheme="minorHAnsi" w:hAnsiTheme="minorHAnsi" w:cs="Arial"/>
                <w:b/>
                <w:bCs/>
                <w:color w:val="000000"/>
                <w:sz w:val="22"/>
                <w:szCs w:val="22"/>
              </w:rPr>
            </w:pPr>
          </w:p>
          <w:p w14:paraId="72AC178C" w14:textId="0557D9FC" w:rsidR="007155DE" w:rsidRDefault="00EE0E6A" w:rsidP="005C0529">
            <w:pPr>
              <w:rPr>
                <w:rFonts w:asciiTheme="minorHAnsi" w:hAnsiTheme="minorHAnsi" w:cs="Arial"/>
                <w:b/>
                <w:bCs/>
                <w:color w:val="000000"/>
                <w:sz w:val="22"/>
                <w:szCs w:val="22"/>
              </w:rPr>
            </w:pPr>
            <w:r w:rsidRPr="00FB3EFE">
              <w:rPr>
                <w:rFonts w:asciiTheme="minorHAnsi" w:hAnsiTheme="minorHAnsi" w:cs="Arial"/>
                <w:b/>
                <w:bCs/>
                <w:color w:val="000000"/>
                <w:sz w:val="22"/>
                <w:szCs w:val="22"/>
              </w:rPr>
              <w:t xml:space="preserve">2. The </w:t>
            </w:r>
            <w:r w:rsidR="00566317" w:rsidRPr="00FB3EFE">
              <w:rPr>
                <w:rFonts w:asciiTheme="minorHAnsi" w:hAnsiTheme="minorHAnsi" w:cs="Arial"/>
                <w:b/>
                <w:bCs/>
                <w:color w:val="000000"/>
                <w:sz w:val="22"/>
                <w:szCs w:val="22"/>
              </w:rPr>
              <w:t>adult</w:t>
            </w:r>
            <w:r w:rsidRPr="00FB3EFE">
              <w:rPr>
                <w:rFonts w:asciiTheme="minorHAnsi" w:hAnsiTheme="minorHAnsi" w:cs="Arial"/>
                <w:b/>
                <w:bCs/>
                <w:color w:val="000000"/>
                <w:sz w:val="22"/>
                <w:szCs w:val="22"/>
              </w:rPr>
              <w:t xml:space="preserve"> lacks mental capacity </w:t>
            </w:r>
            <w:r w:rsidR="00F77DFE" w:rsidRPr="00FB3EFE">
              <w:rPr>
                <w:rFonts w:asciiTheme="minorHAnsi" w:hAnsiTheme="minorHAnsi" w:cs="Arial"/>
                <w:b/>
                <w:bCs/>
                <w:color w:val="000000"/>
                <w:sz w:val="22"/>
                <w:szCs w:val="22"/>
              </w:rPr>
              <w:t>to manage their financial affairs</w:t>
            </w:r>
          </w:p>
          <w:p w14:paraId="0554A41F" w14:textId="77777777" w:rsidR="00770CB8" w:rsidRPr="00770CB8" w:rsidRDefault="00770CB8" w:rsidP="005C0529">
            <w:pPr>
              <w:rPr>
                <w:rFonts w:asciiTheme="minorHAnsi" w:hAnsiTheme="minorHAnsi" w:cs="Arial"/>
                <w:b/>
                <w:bCs/>
                <w:color w:val="000000"/>
                <w:sz w:val="10"/>
                <w:szCs w:val="10"/>
              </w:rPr>
            </w:pPr>
          </w:p>
          <w:p w14:paraId="7A85E88B" w14:textId="5EB35730" w:rsidR="000B761D" w:rsidRPr="00FB3EFE" w:rsidRDefault="00566317" w:rsidP="005C0529">
            <w:pPr>
              <w:pStyle w:val="NormalWeb"/>
              <w:spacing w:before="0" w:beforeAutospacing="0" w:after="300" w:afterAutospacing="0"/>
              <w:rPr>
                <w:rFonts w:asciiTheme="minorHAnsi" w:hAnsiTheme="minorHAnsi" w:cs="Arial"/>
                <w:color w:val="333333"/>
                <w:sz w:val="22"/>
                <w:szCs w:val="22"/>
              </w:rPr>
            </w:pPr>
            <w:r w:rsidRPr="00FB3EFE">
              <w:rPr>
                <w:rFonts w:asciiTheme="minorHAnsi" w:hAnsiTheme="minorHAnsi" w:cs="Arial"/>
                <w:color w:val="000000"/>
                <w:sz w:val="22"/>
                <w:szCs w:val="22"/>
              </w:rPr>
              <w:t xml:space="preserve">Formal arrangements will need to be to put in place to manage the </w:t>
            </w:r>
            <w:r w:rsidR="002F71EA" w:rsidRPr="00FB3EFE">
              <w:rPr>
                <w:rFonts w:asciiTheme="minorHAnsi" w:hAnsiTheme="minorHAnsi" w:cs="Arial"/>
                <w:color w:val="000000"/>
                <w:sz w:val="22"/>
                <w:szCs w:val="22"/>
              </w:rPr>
              <w:t>adult’s</w:t>
            </w:r>
            <w:r w:rsidRPr="00FB3EFE">
              <w:rPr>
                <w:rFonts w:asciiTheme="minorHAnsi" w:hAnsiTheme="minorHAnsi" w:cs="Arial"/>
                <w:color w:val="000000"/>
                <w:sz w:val="22"/>
                <w:szCs w:val="22"/>
              </w:rPr>
              <w:t xml:space="preserve"> financial affair</w:t>
            </w:r>
            <w:r w:rsidR="002F71EA" w:rsidRPr="00FB3EFE">
              <w:rPr>
                <w:rFonts w:asciiTheme="minorHAnsi" w:hAnsiTheme="minorHAnsi" w:cs="Arial"/>
                <w:color w:val="000000"/>
                <w:sz w:val="22"/>
                <w:szCs w:val="22"/>
              </w:rPr>
              <w:t>s in their best</w:t>
            </w:r>
            <w:r w:rsidR="002F71EA" w:rsidRPr="006E6509">
              <w:rPr>
                <w:rFonts w:asciiTheme="minorHAnsi" w:hAnsiTheme="minorHAnsi" w:cs="Arial"/>
                <w:color w:val="000000"/>
                <w:sz w:val="22"/>
                <w:szCs w:val="22"/>
              </w:rPr>
              <w:t xml:space="preserve"> interests</w:t>
            </w:r>
            <w:r w:rsidRPr="006E6509">
              <w:rPr>
                <w:rFonts w:asciiTheme="minorHAnsi" w:hAnsiTheme="minorHAnsi" w:cs="Arial"/>
                <w:color w:val="000000"/>
                <w:sz w:val="22"/>
                <w:szCs w:val="22"/>
              </w:rPr>
              <w:t>.</w:t>
            </w:r>
            <w:r w:rsidR="007155DE" w:rsidRPr="006E6509">
              <w:rPr>
                <w:rFonts w:asciiTheme="minorHAnsi" w:hAnsiTheme="minorHAnsi" w:cs="Arial"/>
                <w:color w:val="000000"/>
                <w:sz w:val="22"/>
                <w:szCs w:val="22"/>
              </w:rPr>
              <w:t xml:space="preserve"> If the </w:t>
            </w:r>
            <w:r w:rsidR="00CF25B9">
              <w:rPr>
                <w:rFonts w:asciiTheme="minorHAnsi" w:hAnsiTheme="minorHAnsi" w:cs="Arial"/>
                <w:color w:val="000000"/>
                <w:sz w:val="22"/>
                <w:szCs w:val="22"/>
              </w:rPr>
              <w:t>adult</w:t>
            </w:r>
            <w:r w:rsidR="007155DE" w:rsidRPr="006E6509">
              <w:rPr>
                <w:rFonts w:asciiTheme="minorHAnsi" w:hAnsiTheme="minorHAnsi" w:cs="Arial"/>
                <w:color w:val="000000"/>
                <w:sz w:val="22"/>
                <w:szCs w:val="22"/>
              </w:rPr>
              <w:t xml:space="preserve"> has property, savings or other assets an application will need to be made to the Court of Protection for </w:t>
            </w:r>
            <w:r w:rsidR="007155DE" w:rsidRPr="006E6509">
              <w:rPr>
                <w:rFonts w:asciiTheme="minorHAnsi" w:hAnsiTheme="minorHAnsi" w:cs="Arial"/>
                <w:b/>
                <w:bCs/>
                <w:color w:val="000000"/>
                <w:sz w:val="22"/>
                <w:szCs w:val="22"/>
              </w:rPr>
              <w:t>deputyship</w:t>
            </w:r>
            <w:r w:rsidR="000E336D">
              <w:rPr>
                <w:rFonts w:asciiTheme="minorHAnsi" w:hAnsiTheme="minorHAnsi" w:cs="Arial"/>
                <w:b/>
                <w:bCs/>
                <w:color w:val="000000"/>
                <w:sz w:val="22"/>
                <w:szCs w:val="22"/>
              </w:rPr>
              <w:t xml:space="preserve"> </w:t>
            </w:r>
            <w:r w:rsidR="000E336D" w:rsidRPr="000E336D">
              <w:rPr>
                <w:rFonts w:asciiTheme="minorHAnsi" w:hAnsiTheme="minorHAnsi" w:cs="Arial"/>
                <w:color w:val="000000"/>
                <w:sz w:val="22"/>
                <w:szCs w:val="22"/>
              </w:rPr>
              <w:t xml:space="preserve">for property </w:t>
            </w:r>
            <w:r w:rsidR="002D35BB">
              <w:rPr>
                <w:rFonts w:asciiTheme="minorHAnsi" w:hAnsiTheme="minorHAnsi" w:cs="Arial"/>
                <w:color w:val="000000"/>
                <w:sz w:val="22"/>
                <w:szCs w:val="22"/>
              </w:rPr>
              <w:t>and</w:t>
            </w:r>
            <w:r w:rsidR="000E336D" w:rsidRPr="000E336D">
              <w:rPr>
                <w:rFonts w:asciiTheme="minorHAnsi" w:hAnsiTheme="minorHAnsi" w:cs="Arial"/>
                <w:color w:val="000000"/>
                <w:sz w:val="22"/>
                <w:szCs w:val="22"/>
              </w:rPr>
              <w:t xml:space="preserve"> financial affairs</w:t>
            </w:r>
            <w:r w:rsidR="007155DE" w:rsidRPr="006E6509">
              <w:rPr>
                <w:rFonts w:asciiTheme="minorHAnsi" w:hAnsiTheme="minorHAnsi" w:cs="Arial"/>
                <w:b/>
                <w:bCs/>
                <w:color w:val="000000"/>
                <w:sz w:val="22"/>
                <w:szCs w:val="22"/>
              </w:rPr>
              <w:t xml:space="preserve">. </w:t>
            </w:r>
            <w:r w:rsidR="007155DE" w:rsidRPr="006E6509">
              <w:rPr>
                <w:rFonts w:asciiTheme="minorHAnsi" w:hAnsiTheme="minorHAnsi" w:cs="Arial"/>
                <w:color w:val="000000"/>
                <w:sz w:val="22"/>
                <w:szCs w:val="22"/>
              </w:rPr>
              <w:t xml:space="preserve">The deputy can either be an individual, such as a family member or friend, or an organisation, such as a local authority. </w:t>
            </w:r>
            <w:r w:rsidR="007155DE" w:rsidRPr="006E6509">
              <w:rPr>
                <w:rFonts w:asciiTheme="minorHAnsi" w:hAnsiTheme="minorHAnsi"/>
                <w:sz w:val="22"/>
                <w:szCs w:val="22"/>
              </w:rPr>
              <w:t xml:space="preserve">If the </w:t>
            </w:r>
            <w:r w:rsidR="00CF25B9">
              <w:rPr>
                <w:rFonts w:asciiTheme="minorHAnsi" w:hAnsiTheme="minorHAnsi" w:cs="Arial"/>
                <w:color w:val="000000"/>
                <w:sz w:val="22"/>
                <w:szCs w:val="22"/>
              </w:rPr>
              <w:t>adult</w:t>
            </w:r>
            <w:r w:rsidR="00206E87">
              <w:rPr>
                <w:rFonts w:asciiTheme="minorHAnsi" w:hAnsiTheme="minorHAnsi"/>
                <w:sz w:val="22"/>
                <w:szCs w:val="22"/>
              </w:rPr>
              <w:t xml:space="preserve">’s </w:t>
            </w:r>
            <w:r w:rsidR="007155DE" w:rsidRPr="006E6509">
              <w:rPr>
                <w:rFonts w:asciiTheme="minorHAnsi" w:hAnsiTheme="minorHAnsi"/>
                <w:sz w:val="22"/>
                <w:szCs w:val="22"/>
              </w:rPr>
              <w:t xml:space="preserve">only income is social security benefits and they have no property or savings, there will usually be no need </w:t>
            </w:r>
            <w:r w:rsidR="00206E87">
              <w:rPr>
                <w:rFonts w:asciiTheme="minorHAnsi" w:hAnsiTheme="minorHAnsi"/>
                <w:sz w:val="22"/>
                <w:szCs w:val="22"/>
              </w:rPr>
              <w:t xml:space="preserve">for </w:t>
            </w:r>
            <w:r w:rsidR="00310D50">
              <w:rPr>
                <w:rFonts w:asciiTheme="minorHAnsi" w:hAnsiTheme="minorHAnsi"/>
                <w:sz w:val="22"/>
                <w:szCs w:val="22"/>
              </w:rPr>
              <w:t xml:space="preserve">a </w:t>
            </w:r>
            <w:r w:rsidR="007155DE" w:rsidRPr="006E6509">
              <w:rPr>
                <w:rFonts w:asciiTheme="minorHAnsi" w:hAnsiTheme="minorHAnsi"/>
                <w:sz w:val="22"/>
                <w:szCs w:val="22"/>
              </w:rPr>
              <w:t xml:space="preserve">Deputy. This is because the </w:t>
            </w:r>
            <w:r w:rsidR="00CF25B9">
              <w:rPr>
                <w:rFonts w:asciiTheme="minorHAnsi" w:hAnsiTheme="minorHAnsi" w:cs="Arial"/>
                <w:color w:val="000000"/>
                <w:sz w:val="22"/>
                <w:szCs w:val="22"/>
              </w:rPr>
              <w:t>adult</w:t>
            </w:r>
            <w:r w:rsidR="007155DE" w:rsidRPr="006E6509">
              <w:rPr>
                <w:rFonts w:asciiTheme="minorHAnsi" w:hAnsiTheme="minorHAnsi"/>
                <w:sz w:val="22"/>
                <w:szCs w:val="22"/>
              </w:rPr>
              <w:t xml:space="preserve">’s finances can be managed by an </w:t>
            </w:r>
            <w:r w:rsidR="007155DE" w:rsidRPr="006E6509">
              <w:rPr>
                <w:rFonts w:asciiTheme="minorHAnsi" w:hAnsiTheme="minorHAnsi" w:cs="Arial"/>
                <w:b/>
                <w:bCs/>
                <w:sz w:val="22"/>
                <w:szCs w:val="22"/>
              </w:rPr>
              <w:t>Appointee</w:t>
            </w:r>
            <w:r w:rsidR="007155DE" w:rsidRPr="006E6509">
              <w:rPr>
                <w:rFonts w:asciiTheme="minorHAnsi" w:hAnsiTheme="minorHAnsi"/>
                <w:b/>
                <w:bCs/>
                <w:sz w:val="22"/>
                <w:szCs w:val="22"/>
              </w:rPr>
              <w:t xml:space="preserve"> </w:t>
            </w:r>
            <w:r w:rsidR="007155DE" w:rsidRPr="006E6509">
              <w:rPr>
                <w:rFonts w:asciiTheme="minorHAnsi" w:hAnsiTheme="minorHAnsi"/>
                <w:sz w:val="22"/>
                <w:szCs w:val="22"/>
              </w:rPr>
              <w:t>appointed by the Department for Work and Pensions (DWP). The appointee can also be an individual or an organisation.</w:t>
            </w:r>
          </w:p>
        </w:tc>
      </w:tr>
    </w:tbl>
    <w:p w14:paraId="0FEA8A84" w14:textId="77777777" w:rsidR="00D770DB" w:rsidRDefault="006A5D0D"/>
    <w:sectPr w:rsidR="00D770DB" w:rsidSect="000B761D">
      <w:headerReference w:type="default" r:id="rId8"/>
      <w:footerReference w:type="default" r:id="rId9"/>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FB37F" w14:textId="77777777" w:rsidR="006A5D0D" w:rsidRDefault="006A5D0D" w:rsidP="000B761D">
      <w:r>
        <w:separator/>
      </w:r>
    </w:p>
  </w:endnote>
  <w:endnote w:type="continuationSeparator" w:id="0">
    <w:p w14:paraId="5C96872E" w14:textId="77777777" w:rsidR="006A5D0D" w:rsidRDefault="006A5D0D" w:rsidP="000B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967DF" w14:textId="44BCBE0C" w:rsidR="002217BC" w:rsidRDefault="002217BC">
    <w:pPr>
      <w:pStyle w:val="Footer"/>
    </w:pPr>
    <w:r>
      <w:t xml:space="preserve">2020 Guidance designed by Leicestershire County Council and edited by Edge Consultation </w:t>
    </w:r>
    <w:r w:rsidR="00625AEF">
      <w:t>to support</w:t>
    </w:r>
    <w:r>
      <w:t xml:space="preserve"> Training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975A4" w14:textId="77777777" w:rsidR="006A5D0D" w:rsidRDefault="006A5D0D" w:rsidP="000B761D">
      <w:r>
        <w:separator/>
      </w:r>
    </w:p>
  </w:footnote>
  <w:footnote w:type="continuationSeparator" w:id="0">
    <w:p w14:paraId="231C44FF" w14:textId="77777777" w:rsidR="006A5D0D" w:rsidRDefault="006A5D0D" w:rsidP="000B761D">
      <w:r>
        <w:continuationSeparator/>
      </w:r>
    </w:p>
  </w:footnote>
  <w:footnote w:id="1">
    <w:p w14:paraId="0E9261A7" w14:textId="51672ADC" w:rsidR="00FB7B82" w:rsidRPr="00CD4F86" w:rsidRDefault="00FB7B82" w:rsidP="00FB7B82">
      <w:pPr>
        <w:pStyle w:val="FootnoteText"/>
        <w:rPr>
          <w:rFonts w:asciiTheme="minorHAnsi" w:hAnsiTheme="minorHAnsi"/>
          <w:i/>
          <w:iCs/>
          <w:sz w:val="22"/>
          <w:szCs w:val="22"/>
        </w:rPr>
      </w:pPr>
      <w:r w:rsidRPr="00CD4F86">
        <w:rPr>
          <w:rStyle w:val="FootnoteReference"/>
          <w:rFonts w:asciiTheme="minorHAnsi" w:hAnsiTheme="minorHAnsi"/>
          <w:sz w:val="22"/>
          <w:szCs w:val="22"/>
        </w:rPr>
        <w:footnoteRef/>
      </w:r>
      <w:r w:rsidRPr="00CD4F86">
        <w:rPr>
          <w:rFonts w:asciiTheme="minorHAnsi" w:hAnsiTheme="minorHAnsi"/>
          <w:sz w:val="22"/>
          <w:szCs w:val="22"/>
        </w:rPr>
        <w:t xml:space="preserve"> </w:t>
      </w:r>
      <w:r w:rsidR="00CD4F86">
        <w:rPr>
          <w:rFonts w:asciiTheme="minorHAnsi" w:hAnsiTheme="minorHAnsi"/>
          <w:sz w:val="22"/>
          <w:szCs w:val="22"/>
        </w:rPr>
        <w:t>As an</w:t>
      </w:r>
      <w:r w:rsidR="00D43AB7" w:rsidRPr="00CD4F86">
        <w:rPr>
          <w:rFonts w:asciiTheme="minorHAnsi" w:hAnsiTheme="minorHAnsi"/>
          <w:sz w:val="22"/>
          <w:szCs w:val="22"/>
        </w:rPr>
        <w:t xml:space="preserve"> example, see</w:t>
      </w:r>
      <w:r w:rsidR="00CD4F86" w:rsidRPr="00CD4F86">
        <w:rPr>
          <w:rFonts w:asciiTheme="minorHAnsi" w:hAnsiTheme="minorHAnsi"/>
          <w:sz w:val="22"/>
          <w:szCs w:val="22"/>
        </w:rPr>
        <w:t xml:space="preserve"> </w:t>
      </w:r>
      <w:hyperlink r:id="rId1" w:history="1">
        <w:r w:rsidR="00D43AB7" w:rsidRPr="00CD4F86">
          <w:rPr>
            <w:rStyle w:val="Hyperlink"/>
            <w:rFonts w:asciiTheme="minorHAnsi" w:hAnsiTheme="minorHAnsi"/>
            <w:i/>
            <w:iCs/>
            <w:sz w:val="22"/>
            <w:szCs w:val="22"/>
          </w:rPr>
          <w:t>The Money Advice Service</w:t>
        </w:r>
        <w:r w:rsidR="00CD4F86" w:rsidRPr="00CD4F86">
          <w:rPr>
            <w:rStyle w:val="Hyperlink"/>
            <w:rFonts w:asciiTheme="minorHAnsi" w:hAnsiTheme="minorHAnsi"/>
            <w:i/>
            <w:iCs/>
            <w:sz w:val="22"/>
            <w:szCs w:val="22"/>
          </w:rPr>
          <w:t>: Helping Young People with Learning Disabilities to Understand Money</w:t>
        </w:r>
      </w:hyperlink>
    </w:p>
  </w:footnote>
  <w:footnote w:id="2">
    <w:p w14:paraId="77239973" w14:textId="200545EA" w:rsidR="0055139B" w:rsidRPr="00245B7C" w:rsidRDefault="0055139B" w:rsidP="0055139B">
      <w:pPr>
        <w:rPr>
          <w:rFonts w:asciiTheme="minorHAnsi" w:hAnsiTheme="minorHAnsi" w:cstheme="minorHAnsi"/>
          <w:sz w:val="22"/>
          <w:szCs w:val="22"/>
        </w:rPr>
      </w:pPr>
      <w:r w:rsidRPr="00245B7C">
        <w:rPr>
          <w:rStyle w:val="FootnoteReference"/>
          <w:rFonts w:asciiTheme="minorHAnsi" w:hAnsiTheme="minorHAnsi" w:cstheme="minorHAnsi"/>
          <w:sz w:val="22"/>
          <w:szCs w:val="22"/>
        </w:rPr>
        <w:footnoteRef/>
      </w:r>
      <w:r w:rsidRPr="00245B7C">
        <w:rPr>
          <w:rFonts w:asciiTheme="minorHAnsi" w:hAnsiTheme="minorHAnsi" w:cstheme="minorHAnsi"/>
          <w:sz w:val="22"/>
          <w:szCs w:val="22"/>
        </w:rPr>
        <w:t xml:space="preserve"> </w:t>
      </w:r>
      <w:r w:rsidR="00605269" w:rsidRPr="00245B7C">
        <w:rPr>
          <w:rFonts w:asciiTheme="minorHAnsi" w:hAnsiTheme="minorHAnsi" w:cstheme="minorHAnsi"/>
          <w:sz w:val="22"/>
          <w:szCs w:val="22"/>
        </w:rPr>
        <w:t xml:space="preserve">This does </w:t>
      </w:r>
      <w:r w:rsidR="00605269" w:rsidRPr="00245B7C">
        <w:rPr>
          <w:rFonts w:asciiTheme="minorHAnsi" w:hAnsiTheme="minorHAnsi" w:cstheme="minorHAnsi"/>
          <w:b/>
          <w:bCs/>
          <w:sz w:val="22"/>
          <w:szCs w:val="22"/>
        </w:rPr>
        <w:t>not</w:t>
      </w:r>
      <w:r w:rsidR="00605269" w:rsidRPr="00245B7C">
        <w:rPr>
          <w:rFonts w:asciiTheme="minorHAnsi" w:hAnsiTheme="minorHAnsi" w:cstheme="minorHAnsi"/>
          <w:sz w:val="22"/>
          <w:szCs w:val="22"/>
        </w:rPr>
        <w:t xml:space="preserve"> include appointeeship</w:t>
      </w:r>
      <w:r w:rsidR="00904566" w:rsidRPr="00245B7C">
        <w:rPr>
          <w:rFonts w:asciiTheme="minorHAnsi" w:hAnsiTheme="minorHAnsi" w:cstheme="minorHAnsi"/>
          <w:sz w:val="22"/>
          <w:szCs w:val="22"/>
        </w:rPr>
        <w:t>,</w:t>
      </w:r>
      <w:r w:rsidR="00605269" w:rsidRPr="00245B7C">
        <w:rPr>
          <w:rFonts w:asciiTheme="minorHAnsi" w:hAnsiTheme="minorHAnsi" w:cstheme="minorHAnsi"/>
          <w:sz w:val="22"/>
          <w:szCs w:val="22"/>
        </w:rPr>
        <w:t xml:space="preserve"> which in general can only be used when </w:t>
      </w:r>
      <w:proofErr w:type="spellStart"/>
      <w:proofErr w:type="gramStart"/>
      <w:r w:rsidR="00605269" w:rsidRPr="00245B7C">
        <w:rPr>
          <w:rFonts w:asciiTheme="minorHAnsi" w:hAnsiTheme="minorHAnsi" w:cstheme="minorHAnsi"/>
          <w:sz w:val="22"/>
          <w:szCs w:val="22"/>
        </w:rPr>
        <w:t>a</w:t>
      </w:r>
      <w:proofErr w:type="spellEnd"/>
      <w:proofErr w:type="gramEnd"/>
      <w:r w:rsidR="00605269" w:rsidRPr="00245B7C">
        <w:rPr>
          <w:rFonts w:asciiTheme="minorHAnsi" w:hAnsiTheme="minorHAnsi" w:cstheme="minorHAnsi"/>
          <w:sz w:val="22"/>
          <w:szCs w:val="22"/>
        </w:rPr>
        <w:t xml:space="preserve"> adult lacks capacity to manage their financial affairs. </w:t>
      </w:r>
      <w:r w:rsidRPr="00245B7C">
        <w:rPr>
          <w:rFonts w:asciiTheme="minorHAnsi" w:hAnsiTheme="minorHAnsi" w:cstheme="minorHAnsi"/>
          <w:sz w:val="22"/>
          <w:szCs w:val="22"/>
        </w:rPr>
        <w:t xml:space="preserve">This is reflected in government </w:t>
      </w:r>
      <w:hyperlink r:id="rId2" w:anchor="physical-disability--special-circumstance" w:history="1">
        <w:r w:rsidRPr="00245B7C">
          <w:rPr>
            <w:rStyle w:val="Hyperlink"/>
            <w:rFonts w:asciiTheme="minorHAnsi" w:hAnsiTheme="minorHAnsi" w:cstheme="minorHAnsi"/>
            <w:sz w:val="22"/>
            <w:szCs w:val="22"/>
          </w:rPr>
          <w:t>guidance</w:t>
        </w:r>
      </w:hyperlink>
      <w:r w:rsidR="00605269" w:rsidRPr="00245B7C">
        <w:rPr>
          <w:rFonts w:asciiTheme="minorHAnsi" w:hAnsiTheme="minorHAnsi" w:cstheme="minorHAnsi"/>
          <w:sz w:val="22"/>
          <w:szCs w:val="22"/>
        </w:rPr>
        <w:t xml:space="preserve">, which </w:t>
      </w:r>
      <w:r w:rsidR="00904566" w:rsidRPr="00245B7C">
        <w:rPr>
          <w:rFonts w:asciiTheme="minorHAnsi" w:hAnsiTheme="minorHAnsi" w:cstheme="minorHAnsi"/>
          <w:sz w:val="22"/>
          <w:szCs w:val="22"/>
        </w:rPr>
        <w:t>states</w:t>
      </w:r>
      <w:r w:rsidRPr="00245B7C">
        <w:rPr>
          <w:rFonts w:asciiTheme="minorHAnsi" w:hAnsiTheme="minorHAnsi" w:cstheme="minorHAnsi"/>
          <w:sz w:val="22"/>
          <w:szCs w:val="22"/>
        </w:rPr>
        <w:t xml:space="preserve"> that: </w:t>
      </w:r>
      <w:r w:rsidRPr="00245B7C">
        <w:rPr>
          <w:rFonts w:asciiTheme="minorHAnsi" w:hAnsiTheme="minorHAnsi" w:cstheme="minorHAnsi"/>
          <w:i/>
          <w:iCs/>
          <w:sz w:val="22"/>
          <w:szCs w:val="22"/>
        </w:rPr>
        <w:t>‘</w:t>
      </w:r>
      <w:r w:rsidRPr="00245B7C">
        <w:rPr>
          <w:rFonts w:asciiTheme="minorHAnsi" w:hAnsiTheme="minorHAnsi" w:cstheme="minorHAnsi"/>
          <w:i/>
          <w:iCs/>
          <w:color w:val="0B0C0C"/>
          <w:sz w:val="22"/>
          <w:szCs w:val="22"/>
          <w:shd w:val="clear" w:color="auto" w:fill="FFFFFF"/>
        </w:rPr>
        <w:t>An appointment must never be made because it is ‘convenient’ either for the Secretary of State or the prospective appointee. The customer must, because of mental incapacity (or, exceptionally, severe physical disability), be incapable of managing their affairs.’</w:t>
      </w:r>
    </w:p>
  </w:footnote>
  <w:footnote w:id="3">
    <w:p w14:paraId="022C9FD2" w14:textId="77777777" w:rsidR="000B761D" w:rsidRPr="00245B7C" w:rsidRDefault="000B761D" w:rsidP="000B761D">
      <w:pPr>
        <w:pStyle w:val="FootnoteText"/>
        <w:rPr>
          <w:rFonts w:asciiTheme="minorHAnsi" w:hAnsiTheme="minorHAnsi" w:cstheme="minorHAnsi"/>
          <w:i/>
          <w:iCs/>
          <w:sz w:val="22"/>
          <w:szCs w:val="22"/>
        </w:rPr>
      </w:pPr>
      <w:r w:rsidRPr="00245B7C">
        <w:rPr>
          <w:rStyle w:val="FootnoteReference"/>
          <w:rFonts w:asciiTheme="minorHAnsi" w:hAnsiTheme="minorHAnsi" w:cstheme="minorHAnsi"/>
          <w:sz w:val="22"/>
          <w:szCs w:val="22"/>
        </w:rPr>
        <w:footnoteRef/>
      </w:r>
      <w:r w:rsidRPr="00245B7C">
        <w:rPr>
          <w:rFonts w:asciiTheme="minorHAnsi" w:hAnsiTheme="minorHAnsi" w:cstheme="minorHAnsi"/>
          <w:sz w:val="22"/>
          <w:szCs w:val="22"/>
        </w:rPr>
        <w:t xml:space="preserve"> </w:t>
      </w:r>
      <w:r w:rsidRPr="00245B7C">
        <w:rPr>
          <w:rFonts w:asciiTheme="minorHAnsi" w:hAnsiTheme="minorHAnsi" w:cstheme="minorHAnsi"/>
          <w:color w:val="000000"/>
          <w:sz w:val="22"/>
          <w:szCs w:val="22"/>
        </w:rPr>
        <w:t xml:space="preserve">Paragraphs 47-49 of </w:t>
      </w:r>
      <w:hyperlink r:id="rId3" w:history="1">
        <w:r w:rsidRPr="00245B7C">
          <w:rPr>
            <w:rStyle w:val="Hyperlink"/>
            <w:rFonts w:asciiTheme="minorHAnsi" w:hAnsiTheme="minorHAnsi" w:cstheme="minorHAnsi"/>
            <w:i/>
            <w:iCs/>
            <w:sz w:val="22"/>
            <w:szCs w:val="22"/>
          </w:rPr>
          <w:t>LB Wandsworth v M &amp; Ors [2017] EWHC 2435</w:t>
        </w:r>
      </w:hyperlink>
    </w:p>
  </w:footnote>
  <w:footnote w:id="4">
    <w:p w14:paraId="04FBF07E" w14:textId="77777777" w:rsidR="000B761D" w:rsidRPr="00245B7C" w:rsidRDefault="000B761D" w:rsidP="000B761D">
      <w:pPr>
        <w:pStyle w:val="FootnoteText"/>
        <w:rPr>
          <w:rFonts w:asciiTheme="minorHAnsi" w:hAnsiTheme="minorHAnsi" w:cstheme="minorHAnsi"/>
          <w:sz w:val="22"/>
          <w:szCs w:val="22"/>
        </w:rPr>
      </w:pPr>
      <w:r w:rsidRPr="00245B7C">
        <w:rPr>
          <w:rStyle w:val="FootnoteReference"/>
          <w:rFonts w:asciiTheme="minorHAnsi" w:hAnsiTheme="minorHAnsi" w:cstheme="minorHAnsi"/>
          <w:sz w:val="22"/>
          <w:szCs w:val="22"/>
        </w:rPr>
        <w:footnoteRef/>
      </w:r>
      <w:r w:rsidRPr="00245B7C">
        <w:rPr>
          <w:rFonts w:asciiTheme="minorHAnsi" w:hAnsiTheme="minorHAnsi" w:cstheme="minorHAnsi"/>
          <w:sz w:val="22"/>
          <w:szCs w:val="22"/>
        </w:rPr>
        <w:t xml:space="preserve"> Paragraphs 22 &amp; 69 of </w:t>
      </w:r>
      <w:hyperlink r:id="rId4" w:history="1">
        <w:r w:rsidRPr="00245B7C">
          <w:rPr>
            <w:rStyle w:val="Hyperlink"/>
            <w:rFonts w:asciiTheme="minorHAnsi" w:hAnsiTheme="minorHAnsi" w:cstheme="minorHAnsi"/>
            <w:i/>
            <w:iCs/>
            <w:sz w:val="22"/>
            <w:szCs w:val="22"/>
            <w:lang w:val="en-US"/>
          </w:rPr>
          <w:t>KK v STCC [2012] EWCOP 2136 [2012]</w:t>
        </w:r>
      </w:hyperlink>
    </w:p>
  </w:footnote>
  <w:footnote w:id="5">
    <w:p w14:paraId="5045C3E7" w14:textId="77777777" w:rsidR="000B761D" w:rsidRPr="00245B7C" w:rsidRDefault="000B761D" w:rsidP="000B761D">
      <w:pPr>
        <w:pStyle w:val="FootnoteText"/>
        <w:rPr>
          <w:rFonts w:asciiTheme="minorHAnsi" w:hAnsiTheme="minorHAnsi" w:cstheme="minorHAnsi"/>
          <w:i/>
          <w:iCs/>
          <w:sz w:val="22"/>
          <w:szCs w:val="22"/>
        </w:rPr>
      </w:pPr>
      <w:r w:rsidRPr="00245B7C">
        <w:rPr>
          <w:rStyle w:val="FootnoteReference"/>
          <w:rFonts w:asciiTheme="minorHAnsi" w:hAnsiTheme="minorHAnsi" w:cstheme="minorHAnsi"/>
          <w:sz w:val="22"/>
          <w:szCs w:val="22"/>
        </w:rPr>
        <w:footnoteRef/>
      </w:r>
      <w:r w:rsidRPr="00245B7C">
        <w:rPr>
          <w:rFonts w:asciiTheme="minorHAnsi" w:hAnsiTheme="minorHAnsi" w:cstheme="minorHAnsi"/>
          <w:sz w:val="22"/>
          <w:szCs w:val="22"/>
        </w:rPr>
        <w:t xml:space="preserve"> Paragraph 16 of </w:t>
      </w:r>
      <w:hyperlink r:id="rId5" w:history="1">
        <w:r w:rsidRPr="00245B7C">
          <w:rPr>
            <w:rStyle w:val="Hyperlink"/>
            <w:rFonts w:asciiTheme="minorHAnsi" w:hAnsiTheme="minorHAnsi" w:cstheme="minorHAnsi"/>
            <w:i/>
            <w:iCs/>
            <w:sz w:val="22"/>
            <w:szCs w:val="22"/>
            <w:lang w:val="en-US"/>
          </w:rPr>
          <w:t>PH v A local authority [2011] EWCOP 1704</w:t>
        </w:r>
      </w:hyperlink>
    </w:p>
  </w:footnote>
  <w:footnote w:id="6">
    <w:p w14:paraId="2D979F13" w14:textId="77777777" w:rsidR="00C274FE" w:rsidRPr="00FF1FDE" w:rsidRDefault="00C274FE" w:rsidP="00C274FE">
      <w:pPr>
        <w:pStyle w:val="FootnoteText"/>
        <w:rPr>
          <w:rFonts w:asciiTheme="minorHAnsi" w:hAnsiTheme="minorHAnsi" w:cstheme="minorHAnsi"/>
          <w:i/>
          <w:iCs/>
          <w:sz w:val="22"/>
          <w:szCs w:val="22"/>
        </w:rPr>
      </w:pPr>
      <w:r w:rsidRPr="00FF1FDE">
        <w:rPr>
          <w:rStyle w:val="FootnoteReference"/>
          <w:rFonts w:asciiTheme="minorHAnsi" w:hAnsiTheme="minorHAnsi" w:cstheme="minorHAnsi"/>
          <w:sz w:val="22"/>
          <w:szCs w:val="22"/>
        </w:rPr>
        <w:footnoteRef/>
      </w:r>
      <w:r w:rsidRPr="00FF1FDE">
        <w:rPr>
          <w:rFonts w:asciiTheme="minorHAnsi" w:hAnsiTheme="minorHAnsi" w:cstheme="minorHAnsi"/>
          <w:sz w:val="22"/>
          <w:szCs w:val="22"/>
        </w:rPr>
        <w:t xml:space="preserve"> See paragraph 38 of </w:t>
      </w:r>
      <w:hyperlink r:id="rId6" w:history="1">
        <w:r w:rsidRPr="00FF1FDE">
          <w:rPr>
            <w:rStyle w:val="Hyperlink"/>
            <w:rFonts w:asciiTheme="minorHAnsi" w:hAnsiTheme="minorHAnsi" w:cstheme="minorHAnsi"/>
            <w:i/>
            <w:iCs/>
            <w:sz w:val="22"/>
            <w:szCs w:val="22"/>
          </w:rPr>
          <w:t>Kings College Hospital NHS Trust v C and V [2015] EWCOP 80</w:t>
        </w:r>
      </w:hyperlink>
    </w:p>
  </w:footnote>
  <w:footnote w:id="7">
    <w:p w14:paraId="33BFCB1D" w14:textId="1DF7D7E1" w:rsidR="00A33BC9" w:rsidRPr="00245B7C" w:rsidRDefault="00A33BC9" w:rsidP="00D077D3">
      <w:pPr>
        <w:rPr>
          <w:rFonts w:asciiTheme="minorHAnsi" w:hAnsiTheme="minorHAnsi" w:cs="Arial"/>
          <w:color w:val="000000" w:themeColor="text1"/>
          <w:sz w:val="22"/>
          <w:szCs w:val="22"/>
          <w:shd w:val="clear" w:color="auto" w:fill="FFFFFF"/>
        </w:rPr>
      </w:pPr>
      <w:r w:rsidRPr="00245B7C">
        <w:rPr>
          <w:rStyle w:val="FootnoteReference"/>
          <w:rFonts w:asciiTheme="minorHAnsi" w:hAnsiTheme="minorHAnsi"/>
          <w:sz w:val="22"/>
          <w:szCs w:val="22"/>
        </w:rPr>
        <w:footnoteRef/>
      </w:r>
      <w:r w:rsidRPr="00245B7C">
        <w:rPr>
          <w:rFonts w:asciiTheme="minorHAnsi" w:hAnsiTheme="minorHAnsi"/>
          <w:sz w:val="22"/>
          <w:szCs w:val="22"/>
        </w:rPr>
        <w:t xml:space="preserve"> </w:t>
      </w:r>
      <w:hyperlink r:id="rId7" w:history="1">
        <w:r w:rsidR="00D077D3" w:rsidRPr="00245B7C">
          <w:rPr>
            <w:rStyle w:val="Hyperlink"/>
            <w:rFonts w:asciiTheme="minorHAnsi" w:hAnsiTheme="minorHAnsi"/>
            <w:sz w:val="22"/>
            <w:szCs w:val="22"/>
          </w:rPr>
          <w:t xml:space="preserve">The </w:t>
        </w:r>
        <w:r w:rsidRPr="00245B7C">
          <w:rPr>
            <w:rStyle w:val="Hyperlink"/>
            <w:rFonts w:asciiTheme="minorHAnsi" w:hAnsiTheme="minorHAnsi" w:cs="Arial"/>
            <w:sz w:val="22"/>
            <w:szCs w:val="22"/>
            <w:shd w:val="clear" w:color="auto" w:fill="FFFFFF"/>
          </w:rPr>
          <w:t>Financial Services Compensation Scheme</w:t>
        </w:r>
      </w:hyperlink>
      <w:r w:rsidRPr="00245B7C">
        <w:rPr>
          <w:rFonts w:asciiTheme="minorHAnsi" w:hAnsiTheme="minorHAnsi" w:cs="Arial"/>
          <w:color w:val="000000" w:themeColor="text1"/>
          <w:sz w:val="22"/>
          <w:szCs w:val="22"/>
          <w:shd w:val="clear" w:color="auto" w:fill="FFFFFF"/>
        </w:rPr>
        <w:t xml:space="preserve"> (FSCS),</w:t>
      </w:r>
      <w:r w:rsidR="00D077D3" w:rsidRPr="00245B7C">
        <w:rPr>
          <w:rFonts w:asciiTheme="minorHAnsi" w:hAnsiTheme="minorHAnsi" w:cs="Arial"/>
          <w:color w:val="000000" w:themeColor="text1"/>
          <w:sz w:val="22"/>
          <w:szCs w:val="22"/>
          <w:shd w:val="clear" w:color="auto" w:fill="FFFFFF"/>
        </w:rPr>
        <w:t xml:space="preserve"> protects savings of up to £</w:t>
      </w:r>
      <w:r w:rsidR="00D077D3" w:rsidRPr="00245B7C">
        <w:rPr>
          <w:rStyle w:val="Emphasis"/>
          <w:rFonts w:asciiTheme="minorHAnsi" w:hAnsiTheme="minorHAnsi" w:cs="Arial"/>
          <w:i w:val="0"/>
          <w:iCs w:val="0"/>
          <w:color w:val="000000" w:themeColor="text1"/>
          <w:sz w:val="22"/>
          <w:szCs w:val="22"/>
        </w:rPr>
        <w:t>85,000</w:t>
      </w:r>
      <w:r w:rsidR="00D077D3" w:rsidRPr="00245B7C">
        <w:rPr>
          <w:rFonts w:asciiTheme="minorHAnsi" w:hAnsiTheme="minorHAnsi" w:cs="Arial"/>
          <w:color w:val="000000" w:themeColor="text1"/>
          <w:sz w:val="22"/>
          <w:szCs w:val="22"/>
          <w:shd w:val="clear" w:color="auto" w:fill="FFFFFF"/>
        </w:rPr>
        <w:t>. It is therefore inadvisable to deposit more than £85,000 in a single bank or building society.</w:t>
      </w:r>
    </w:p>
  </w:footnote>
  <w:footnote w:id="8">
    <w:p w14:paraId="5FDFD87F" w14:textId="77777777" w:rsidR="00A33BC9" w:rsidRPr="00245B7C" w:rsidRDefault="00A33BC9" w:rsidP="00A33BC9">
      <w:pPr>
        <w:pStyle w:val="FootnoteText"/>
        <w:rPr>
          <w:rFonts w:asciiTheme="minorHAnsi" w:hAnsiTheme="minorHAnsi" w:cstheme="minorHAnsi"/>
          <w:i/>
          <w:iCs/>
          <w:sz w:val="22"/>
          <w:szCs w:val="22"/>
        </w:rPr>
      </w:pPr>
      <w:r w:rsidRPr="00245B7C">
        <w:rPr>
          <w:rStyle w:val="FootnoteReference"/>
          <w:rFonts w:asciiTheme="minorHAnsi" w:hAnsiTheme="minorHAnsi" w:cstheme="minorHAnsi"/>
          <w:sz w:val="22"/>
          <w:szCs w:val="22"/>
        </w:rPr>
        <w:footnoteRef/>
      </w:r>
      <w:r w:rsidRPr="00245B7C">
        <w:rPr>
          <w:rFonts w:asciiTheme="minorHAnsi" w:hAnsiTheme="minorHAnsi" w:cstheme="minorHAnsi"/>
          <w:sz w:val="22"/>
          <w:szCs w:val="22"/>
        </w:rPr>
        <w:t xml:space="preserve">  See paragraph 38 of </w:t>
      </w:r>
      <w:hyperlink r:id="rId8" w:history="1">
        <w:r w:rsidRPr="00245B7C">
          <w:rPr>
            <w:rStyle w:val="Hyperlink"/>
            <w:rFonts w:asciiTheme="minorHAnsi" w:hAnsiTheme="minorHAnsi" w:cstheme="minorHAnsi"/>
            <w:i/>
            <w:iCs/>
            <w:sz w:val="22"/>
            <w:szCs w:val="22"/>
          </w:rPr>
          <w:t>Kings College Hospital NHS Trust v C and V [2015] EWCOP 80</w:t>
        </w:r>
      </w:hyperlink>
    </w:p>
  </w:footnote>
  <w:footnote w:id="9">
    <w:p w14:paraId="29816C7C" w14:textId="77777777" w:rsidR="00A33BC9" w:rsidRPr="00245B7C" w:rsidRDefault="00A33BC9" w:rsidP="00A33BC9">
      <w:pPr>
        <w:rPr>
          <w:rFonts w:asciiTheme="minorHAnsi" w:hAnsiTheme="minorHAnsi" w:cstheme="minorHAnsi"/>
          <w:sz w:val="22"/>
          <w:szCs w:val="22"/>
        </w:rPr>
      </w:pPr>
      <w:r w:rsidRPr="00245B7C">
        <w:rPr>
          <w:rStyle w:val="FootnoteReference"/>
          <w:rFonts w:asciiTheme="minorHAnsi" w:hAnsiTheme="minorHAnsi" w:cstheme="minorHAnsi"/>
          <w:sz w:val="22"/>
          <w:szCs w:val="22"/>
        </w:rPr>
        <w:footnoteRef/>
      </w:r>
      <w:r w:rsidRPr="00245B7C">
        <w:rPr>
          <w:rFonts w:asciiTheme="minorHAnsi" w:hAnsiTheme="minorHAnsi" w:cstheme="minorHAnsi"/>
          <w:sz w:val="22"/>
          <w:szCs w:val="22"/>
        </w:rPr>
        <w:t xml:space="preserve">  See paragraph 39 of </w:t>
      </w:r>
      <w:hyperlink r:id="rId9" w:history="1">
        <w:r w:rsidRPr="00245B7C">
          <w:rPr>
            <w:rStyle w:val="Hyperlink"/>
            <w:rFonts w:asciiTheme="minorHAnsi" w:hAnsiTheme="minorHAnsi" w:cstheme="minorHAnsi"/>
            <w:i/>
            <w:iCs/>
            <w:sz w:val="22"/>
            <w:szCs w:val="22"/>
          </w:rPr>
          <w:t>A Local Authority v AW [2020] EWCOP 24 (20 May 2020) </w:t>
        </w:r>
      </w:hyperlink>
    </w:p>
  </w:footnote>
  <w:footnote w:id="10">
    <w:p w14:paraId="652B9D8C" w14:textId="77777777" w:rsidR="00A33BC9" w:rsidRPr="00245B7C" w:rsidRDefault="00A33BC9" w:rsidP="00A33BC9">
      <w:pPr>
        <w:pStyle w:val="FootnoteText"/>
        <w:rPr>
          <w:rFonts w:asciiTheme="minorHAnsi" w:hAnsiTheme="minorHAnsi" w:cstheme="minorHAnsi"/>
          <w:sz w:val="22"/>
          <w:szCs w:val="22"/>
        </w:rPr>
      </w:pPr>
      <w:r w:rsidRPr="00245B7C">
        <w:rPr>
          <w:rStyle w:val="FootnoteReference"/>
          <w:rFonts w:asciiTheme="minorHAnsi" w:hAnsiTheme="minorHAnsi" w:cstheme="minorHAnsi"/>
          <w:sz w:val="22"/>
          <w:szCs w:val="22"/>
        </w:rPr>
        <w:footnoteRef/>
      </w:r>
      <w:r w:rsidRPr="00245B7C">
        <w:rPr>
          <w:rFonts w:asciiTheme="minorHAnsi" w:hAnsiTheme="minorHAnsi" w:cstheme="minorHAnsi"/>
          <w:sz w:val="22"/>
          <w:szCs w:val="22"/>
        </w:rPr>
        <w:t xml:space="preserve"> </w:t>
      </w:r>
      <w:hyperlink r:id="rId10" w:history="1">
        <w:r w:rsidRPr="00245B7C">
          <w:rPr>
            <w:rStyle w:val="Hyperlink"/>
            <w:rFonts w:asciiTheme="minorHAnsi" w:hAnsiTheme="minorHAnsi" w:cstheme="minorHAnsi"/>
            <w:sz w:val="22"/>
            <w:szCs w:val="22"/>
          </w:rPr>
          <w:t>39 Essex Street - Carrying out and recording capacity assessments (June 2020)</w:t>
        </w:r>
      </w:hyperlink>
    </w:p>
  </w:footnote>
  <w:footnote w:id="11">
    <w:p w14:paraId="29E1E2C4" w14:textId="024EDBD4" w:rsidR="00973059" w:rsidRPr="00973059" w:rsidRDefault="00973059">
      <w:pPr>
        <w:pStyle w:val="FootnoteText"/>
        <w:rPr>
          <w:rFonts w:ascii="Calibri" w:hAnsi="Calibri" w:cs="Arial"/>
          <w:color w:val="000000"/>
          <w:sz w:val="22"/>
          <w:szCs w:val="22"/>
        </w:rPr>
      </w:pPr>
      <w:r w:rsidRPr="00973059">
        <w:rPr>
          <w:rStyle w:val="FootnoteReference"/>
          <w:rFonts w:ascii="Calibri" w:hAnsi="Calibri"/>
        </w:rPr>
        <w:footnoteRef/>
      </w:r>
      <w:r w:rsidRPr="00973059">
        <w:rPr>
          <w:rFonts w:ascii="Calibri" w:hAnsi="Calibri"/>
        </w:rPr>
        <w:t xml:space="preserve"> </w:t>
      </w:r>
      <w:r w:rsidRPr="00973059">
        <w:rPr>
          <w:rFonts w:ascii="Calibri" w:hAnsi="Calibri" w:cs="Arial"/>
          <w:color w:val="000000"/>
          <w:sz w:val="22"/>
          <w:szCs w:val="22"/>
        </w:rPr>
        <w:t xml:space="preserve">See paragraph 14.95 of </w:t>
      </w:r>
      <w:hyperlink r:id="rId11" w:anchor="safeguarding-1" w:history="1">
        <w:r w:rsidRPr="00973059">
          <w:rPr>
            <w:rStyle w:val="Hyperlink"/>
            <w:rFonts w:ascii="Calibri" w:hAnsi="Calibri" w:cs="Arial"/>
            <w:i/>
            <w:iCs/>
            <w:sz w:val="22"/>
            <w:szCs w:val="22"/>
          </w:rPr>
          <w:t>Care &amp; Support Statutory Guidance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626C8" w14:textId="77777777" w:rsidR="0098647E" w:rsidRPr="0098647E" w:rsidRDefault="0098647E" w:rsidP="0098647E">
    <w:pPr>
      <w:pStyle w:val="Header"/>
      <w:jc w:val="center"/>
      <w:rPr>
        <w:color w:val="70AD47" w:themeColor="accent6"/>
        <w:sz w:val="32"/>
        <w:szCs w:val="32"/>
      </w:rPr>
    </w:pPr>
    <w:r w:rsidRPr="0098647E">
      <w:rPr>
        <w:color w:val="70AD47" w:themeColor="accent6"/>
        <w:sz w:val="32"/>
        <w:szCs w:val="32"/>
      </w:rPr>
      <w:t xml:space="preserve">Leicester, Leicestershire and Rutland ‘How to’ assess Mental Capacity </w:t>
    </w:r>
  </w:p>
  <w:p w14:paraId="375AA118" w14:textId="77777777" w:rsidR="0098647E" w:rsidRPr="0098647E" w:rsidRDefault="0098647E" w:rsidP="0098647E">
    <w:pPr>
      <w:pStyle w:val="Header"/>
      <w:jc w:val="center"/>
      <w:rPr>
        <w:color w:val="70AD47" w:themeColor="accent6"/>
        <w:sz w:val="32"/>
        <w:szCs w:val="32"/>
      </w:rPr>
    </w:pPr>
    <w:r w:rsidRPr="0098647E">
      <w:rPr>
        <w:color w:val="70AD47" w:themeColor="accent6"/>
        <w:sz w:val="32"/>
        <w:szCs w:val="32"/>
      </w:rPr>
      <w:t>in specific situations</w:t>
    </w:r>
  </w:p>
  <w:p w14:paraId="3D5CF7B7" w14:textId="77777777" w:rsidR="0098647E" w:rsidRDefault="00986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0662"/>
    <w:multiLevelType w:val="hybridMultilevel"/>
    <w:tmpl w:val="5FC47254"/>
    <w:lvl w:ilvl="0" w:tplc="0809000F">
      <w:start w:val="1"/>
      <w:numFmt w:val="decimal"/>
      <w:lvlText w:val="%1."/>
      <w:lvlJc w:val="left"/>
      <w:pPr>
        <w:ind w:left="417" w:hanging="360"/>
      </w:p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 w15:restartNumberingAfterBreak="0">
    <w:nsid w:val="01F77D5E"/>
    <w:multiLevelType w:val="hybridMultilevel"/>
    <w:tmpl w:val="A536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D2A95"/>
    <w:multiLevelType w:val="hybridMultilevel"/>
    <w:tmpl w:val="A570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75252"/>
    <w:multiLevelType w:val="hybridMultilevel"/>
    <w:tmpl w:val="92463464"/>
    <w:lvl w:ilvl="0" w:tplc="661A5BA0">
      <w:start w:val="1"/>
      <w:numFmt w:val="bullet"/>
      <w:lvlText w:val="q"/>
      <w:lvlJc w:val="left"/>
      <w:pPr>
        <w:tabs>
          <w:tab w:val="num" w:pos="720"/>
        </w:tabs>
        <w:ind w:left="720" w:hanging="360"/>
      </w:pPr>
      <w:rPr>
        <w:rFonts w:ascii="Wingdings" w:hAnsi="Wingdings" w:hint="default"/>
      </w:rPr>
    </w:lvl>
    <w:lvl w:ilvl="1" w:tplc="8EB41794" w:tentative="1">
      <w:start w:val="1"/>
      <w:numFmt w:val="bullet"/>
      <w:lvlText w:val="q"/>
      <w:lvlJc w:val="left"/>
      <w:pPr>
        <w:tabs>
          <w:tab w:val="num" w:pos="1440"/>
        </w:tabs>
        <w:ind w:left="1440" w:hanging="360"/>
      </w:pPr>
      <w:rPr>
        <w:rFonts w:ascii="Wingdings" w:hAnsi="Wingdings" w:hint="default"/>
      </w:rPr>
    </w:lvl>
    <w:lvl w:ilvl="2" w:tplc="CF6E24EC" w:tentative="1">
      <w:start w:val="1"/>
      <w:numFmt w:val="bullet"/>
      <w:lvlText w:val="q"/>
      <w:lvlJc w:val="left"/>
      <w:pPr>
        <w:tabs>
          <w:tab w:val="num" w:pos="2160"/>
        </w:tabs>
        <w:ind w:left="2160" w:hanging="360"/>
      </w:pPr>
      <w:rPr>
        <w:rFonts w:ascii="Wingdings" w:hAnsi="Wingdings" w:hint="default"/>
      </w:rPr>
    </w:lvl>
    <w:lvl w:ilvl="3" w:tplc="E6723CC2" w:tentative="1">
      <w:start w:val="1"/>
      <w:numFmt w:val="bullet"/>
      <w:lvlText w:val="q"/>
      <w:lvlJc w:val="left"/>
      <w:pPr>
        <w:tabs>
          <w:tab w:val="num" w:pos="2880"/>
        </w:tabs>
        <w:ind w:left="2880" w:hanging="360"/>
      </w:pPr>
      <w:rPr>
        <w:rFonts w:ascii="Wingdings" w:hAnsi="Wingdings" w:hint="default"/>
      </w:rPr>
    </w:lvl>
    <w:lvl w:ilvl="4" w:tplc="4E6877BA" w:tentative="1">
      <w:start w:val="1"/>
      <w:numFmt w:val="bullet"/>
      <w:lvlText w:val="q"/>
      <w:lvlJc w:val="left"/>
      <w:pPr>
        <w:tabs>
          <w:tab w:val="num" w:pos="3600"/>
        </w:tabs>
        <w:ind w:left="3600" w:hanging="360"/>
      </w:pPr>
      <w:rPr>
        <w:rFonts w:ascii="Wingdings" w:hAnsi="Wingdings" w:hint="default"/>
      </w:rPr>
    </w:lvl>
    <w:lvl w:ilvl="5" w:tplc="92FA2ABE" w:tentative="1">
      <w:start w:val="1"/>
      <w:numFmt w:val="bullet"/>
      <w:lvlText w:val="q"/>
      <w:lvlJc w:val="left"/>
      <w:pPr>
        <w:tabs>
          <w:tab w:val="num" w:pos="4320"/>
        </w:tabs>
        <w:ind w:left="4320" w:hanging="360"/>
      </w:pPr>
      <w:rPr>
        <w:rFonts w:ascii="Wingdings" w:hAnsi="Wingdings" w:hint="default"/>
      </w:rPr>
    </w:lvl>
    <w:lvl w:ilvl="6" w:tplc="032ACE2A" w:tentative="1">
      <w:start w:val="1"/>
      <w:numFmt w:val="bullet"/>
      <w:lvlText w:val="q"/>
      <w:lvlJc w:val="left"/>
      <w:pPr>
        <w:tabs>
          <w:tab w:val="num" w:pos="5040"/>
        </w:tabs>
        <w:ind w:left="5040" w:hanging="360"/>
      </w:pPr>
      <w:rPr>
        <w:rFonts w:ascii="Wingdings" w:hAnsi="Wingdings" w:hint="default"/>
      </w:rPr>
    </w:lvl>
    <w:lvl w:ilvl="7" w:tplc="D0829464" w:tentative="1">
      <w:start w:val="1"/>
      <w:numFmt w:val="bullet"/>
      <w:lvlText w:val="q"/>
      <w:lvlJc w:val="left"/>
      <w:pPr>
        <w:tabs>
          <w:tab w:val="num" w:pos="5760"/>
        </w:tabs>
        <w:ind w:left="5760" w:hanging="360"/>
      </w:pPr>
      <w:rPr>
        <w:rFonts w:ascii="Wingdings" w:hAnsi="Wingdings" w:hint="default"/>
      </w:rPr>
    </w:lvl>
    <w:lvl w:ilvl="8" w:tplc="456CB3FC" w:tentative="1">
      <w:start w:val="1"/>
      <w:numFmt w:val="bullet"/>
      <w:lvlText w:val="q"/>
      <w:lvlJc w:val="left"/>
      <w:pPr>
        <w:tabs>
          <w:tab w:val="num" w:pos="6480"/>
        </w:tabs>
        <w:ind w:left="6480" w:hanging="360"/>
      </w:pPr>
      <w:rPr>
        <w:rFonts w:ascii="Wingdings" w:hAnsi="Wingdings" w:hint="default"/>
      </w:rPr>
    </w:lvl>
  </w:abstractNum>
  <w:abstractNum w:abstractNumId="4" w15:restartNumberingAfterBreak="0">
    <w:nsid w:val="17816BD7"/>
    <w:multiLevelType w:val="hybridMultilevel"/>
    <w:tmpl w:val="C5B43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225F0C"/>
    <w:multiLevelType w:val="hybridMultilevel"/>
    <w:tmpl w:val="3F5AC79A"/>
    <w:lvl w:ilvl="0" w:tplc="E2B4D0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B1529"/>
    <w:multiLevelType w:val="hybridMultilevel"/>
    <w:tmpl w:val="38068BFA"/>
    <w:lvl w:ilvl="0" w:tplc="E2B4D0C4">
      <w:start w:val="1"/>
      <w:numFmt w:val="bullet"/>
      <w:lvlText w:val=""/>
      <w:lvlJc w:val="left"/>
      <w:pPr>
        <w:ind w:left="720" w:hanging="360"/>
      </w:pPr>
      <w:rPr>
        <w:rFonts w:ascii="Symbol" w:hAnsi="Symbol" w:hint="default"/>
      </w:rPr>
    </w:lvl>
    <w:lvl w:ilvl="1" w:tplc="21AAC464">
      <w:start w:val="1"/>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908F5"/>
    <w:multiLevelType w:val="hybridMultilevel"/>
    <w:tmpl w:val="7BF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A693A"/>
    <w:multiLevelType w:val="hybridMultilevel"/>
    <w:tmpl w:val="492EF1AA"/>
    <w:lvl w:ilvl="0" w:tplc="AC26DFDE">
      <w:start w:val="1"/>
      <w:numFmt w:val="bullet"/>
      <w:lvlText w:val=""/>
      <w:lvlJc w:val="left"/>
      <w:pPr>
        <w:ind w:left="720" w:hanging="360"/>
      </w:pPr>
      <w:rPr>
        <w:rFonts w:ascii="Wingdings" w:hAnsi="Wingdings" w:hint="default"/>
        <w:spacing w:val="-3"/>
        <w:w w:val="100"/>
        <w:sz w:val="24"/>
        <w:szCs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A1595"/>
    <w:multiLevelType w:val="hybridMultilevel"/>
    <w:tmpl w:val="33BE7B38"/>
    <w:lvl w:ilvl="0" w:tplc="AC26DFDE">
      <w:start w:val="1"/>
      <w:numFmt w:val="bullet"/>
      <w:lvlText w:val=""/>
      <w:lvlJc w:val="left"/>
      <w:pPr>
        <w:ind w:left="720" w:hanging="360"/>
      </w:pPr>
      <w:rPr>
        <w:rFonts w:ascii="Wingdings" w:hAnsi="Wingdings" w:hint="default"/>
        <w:spacing w:val="-3"/>
        <w:w w:val="100"/>
        <w:sz w:val="24"/>
        <w:szCs w:val="24"/>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C46AF1"/>
    <w:multiLevelType w:val="hybridMultilevel"/>
    <w:tmpl w:val="D39206FE"/>
    <w:lvl w:ilvl="0" w:tplc="AC26DFDE">
      <w:start w:val="1"/>
      <w:numFmt w:val="bullet"/>
      <w:lvlText w:val=""/>
      <w:lvlJc w:val="left"/>
      <w:pPr>
        <w:ind w:left="417" w:hanging="360"/>
      </w:pPr>
      <w:rPr>
        <w:rFonts w:ascii="Wingdings" w:hAnsi="Wingdings" w:hint="default"/>
        <w:spacing w:val="-3"/>
        <w:w w:val="100"/>
        <w:sz w:val="24"/>
        <w:szCs w:val="24"/>
      </w:rPr>
    </w:lvl>
    <w:lvl w:ilvl="1" w:tplc="08090003" w:tentative="1">
      <w:start w:val="1"/>
      <w:numFmt w:val="bullet"/>
      <w:lvlText w:val="o"/>
      <w:lvlJc w:val="left"/>
      <w:pPr>
        <w:ind w:left="834" w:hanging="360"/>
      </w:pPr>
      <w:rPr>
        <w:rFonts w:ascii="Courier New" w:hAnsi="Courier New" w:cs="Courier New" w:hint="default"/>
      </w:rPr>
    </w:lvl>
    <w:lvl w:ilvl="2" w:tplc="08090005" w:tentative="1">
      <w:start w:val="1"/>
      <w:numFmt w:val="bullet"/>
      <w:lvlText w:val=""/>
      <w:lvlJc w:val="left"/>
      <w:pPr>
        <w:ind w:left="1554" w:hanging="360"/>
      </w:pPr>
      <w:rPr>
        <w:rFonts w:ascii="Wingdings" w:hAnsi="Wingdings" w:hint="default"/>
      </w:rPr>
    </w:lvl>
    <w:lvl w:ilvl="3" w:tplc="08090001" w:tentative="1">
      <w:start w:val="1"/>
      <w:numFmt w:val="bullet"/>
      <w:lvlText w:val=""/>
      <w:lvlJc w:val="left"/>
      <w:pPr>
        <w:ind w:left="2274" w:hanging="360"/>
      </w:pPr>
      <w:rPr>
        <w:rFonts w:ascii="Symbol" w:hAnsi="Symbol" w:hint="default"/>
      </w:rPr>
    </w:lvl>
    <w:lvl w:ilvl="4" w:tplc="08090003" w:tentative="1">
      <w:start w:val="1"/>
      <w:numFmt w:val="bullet"/>
      <w:lvlText w:val="o"/>
      <w:lvlJc w:val="left"/>
      <w:pPr>
        <w:ind w:left="2994" w:hanging="360"/>
      </w:pPr>
      <w:rPr>
        <w:rFonts w:ascii="Courier New" w:hAnsi="Courier New" w:cs="Courier New" w:hint="default"/>
      </w:rPr>
    </w:lvl>
    <w:lvl w:ilvl="5" w:tplc="08090005" w:tentative="1">
      <w:start w:val="1"/>
      <w:numFmt w:val="bullet"/>
      <w:lvlText w:val=""/>
      <w:lvlJc w:val="left"/>
      <w:pPr>
        <w:ind w:left="3714" w:hanging="360"/>
      </w:pPr>
      <w:rPr>
        <w:rFonts w:ascii="Wingdings" w:hAnsi="Wingdings" w:hint="default"/>
      </w:rPr>
    </w:lvl>
    <w:lvl w:ilvl="6" w:tplc="08090001" w:tentative="1">
      <w:start w:val="1"/>
      <w:numFmt w:val="bullet"/>
      <w:lvlText w:val=""/>
      <w:lvlJc w:val="left"/>
      <w:pPr>
        <w:ind w:left="4434" w:hanging="360"/>
      </w:pPr>
      <w:rPr>
        <w:rFonts w:ascii="Symbol" w:hAnsi="Symbol" w:hint="default"/>
      </w:rPr>
    </w:lvl>
    <w:lvl w:ilvl="7" w:tplc="08090003" w:tentative="1">
      <w:start w:val="1"/>
      <w:numFmt w:val="bullet"/>
      <w:lvlText w:val="o"/>
      <w:lvlJc w:val="left"/>
      <w:pPr>
        <w:ind w:left="5154" w:hanging="360"/>
      </w:pPr>
      <w:rPr>
        <w:rFonts w:ascii="Courier New" w:hAnsi="Courier New" w:cs="Courier New" w:hint="default"/>
      </w:rPr>
    </w:lvl>
    <w:lvl w:ilvl="8" w:tplc="08090005" w:tentative="1">
      <w:start w:val="1"/>
      <w:numFmt w:val="bullet"/>
      <w:lvlText w:val=""/>
      <w:lvlJc w:val="left"/>
      <w:pPr>
        <w:ind w:left="5874" w:hanging="360"/>
      </w:pPr>
      <w:rPr>
        <w:rFonts w:ascii="Wingdings" w:hAnsi="Wingdings" w:hint="default"/>
      </w:rPr>
    </w:lvl>
  </w:abstractNum>
  <w:abstractNum w:abstractNumId="11" w15:restartNumberingAfterBreak="0">
    <w:nsid w:val="3FE73894"/>
    <w:multiLevelType w:val="hybridMultilevel"/>
    <w:tmpl w:val="865CFA64"/>
    <w:lvl w:ilvl="0" w:tplc="E2B4D0C4">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15:restartNumberingAfterBreak="0">
    <w:nsid w:val="476247C3"/>
    <w:multiLevelType w:val="hybridMultilevel"/>
    <w:tmpl w:val="97D6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AC6048"/>
    <w:multiLevelType w:val="hybridMultilevel"/>
    <w:tmpl w:val="C47A02B8"/>
    <w:lvl w:ilvl="0" w:tplc="08090001">
      <w:start w:val="1"/>
      <w:numFmt w:val="bullet"/>
      <w:lvlText w:val=""/>
      <w:lvlJc w:val="left"/>
      <w:pPr>
        <w:ind w:left="1144" w:hanging="360"/>
      </w:pPr>
      <w:rPr>
        <w:rFonts w:ascii="Symbol" w:hAnsi="Symbol" w:hint="default"/>
      </w:rPr>
    </w:lvl>
    <w:lvl w:ilvl="1" w:tplc="08090003" w:tentative="1">
      <w:start w:val="1"/>
      <w:numFmt w:val="bullet"/>
      <w:lvlText w:val="o"/>
      <w:lvlJc w:val="left"/>
      <w:pPr>
        <w:ind w:left="1864" w:hanging="360"/>
      </w:pPr>
      <w:rPr>
        <w:rFonts w:ascii="Courier New" w:hAnsi="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14" w15:restartNumberingAfterBreak="0">
    <w:nsid w:val="47F00BAB"/>
    <w:multiLevelType w:val="hybridMultilevel"/>
    <w:tmpl w:val="96B2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0B33B5"/>
    <w:multiLevelType w:val="hybridMultilevel"/>
    <w:tmpl w:val="EFDA126E"/>
    <w:lvl w:ilvl="0" w:tplc="E2B4D0C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E671A1"/>
    <w:multiLevelType w:val="hybridMultilevel"/>
    <w:tmpl w:val="E50244D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55961219"/>
    <w:multiLevelType w:val="hybridMultilevel"/>
    <w:tmpl w:val="1DEE9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DB7995"/>
    <w:multiLevelType w:val="multilevel"/>
    <w:tmpl w:val="38D2462E"/>
    <w:lvl w:ilvl="0">
      <w:start w:val="1"/>
      <w:numFmt w:val="bullet"/>
      <w:lvlText w:val=""/>
      <w:lvlJc w:val="left"/>
      <w:pPr>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DC92096"/>
    <w:multiLevelType w:val="hybridMultilevel"/>
    <w:tmpl w:val="939AF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A500B0"/>
    <w:multiLevelType w:val="hybridMultilevel"/>
    <w:tmpl w:val="3DA8DF1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1" w15:restartNumberingAfterBreak="0">
    <w:nsid w:val="638B0AF5"/>
    <w:multiLevelType w:val="multilevel"/>
    <w:tmpl w:val="1C10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9C71B9"/>
    <w:multiLevelType w:val="multilevel"/>
    <w:tmpl w:val="339095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5953FE0"/>
    <w:multiLevelType w:val="hybridMultilevel"/>
    <w:tmpl w:val="84E00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E359F4"/>
    <w:multiLevelType w:val="hybridMultilevel"/>
    <w:tmpl w:val="5DB8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5E3E0B"/>
    <w:multiLevelType w:val="hybridMultilevel"/>
    <w:tmpl w:val="D5804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DAA6718"/>
    <w:multiLevelType w:val="hybridMultilevel"/>
    <w:tmpl w:val="8F0A0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B22992"/>
    <w:multiLevelType w:val="hybridMultilevel"/>
    <w:tmpl w:val="A10A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F701DF"/>
    <w:multiLevelType w:val="hybridMultilevel"/>
    <w:tmpl w:val="D75A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096233"/>
    <w:multiLevelType w:val="multilevel"/>
    <w:tmpl w:val="F0A81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D67BCC"/>
    <w:multiLevelType w:val="hybridMultilevel"/>
    <w:tmpl w:val="451A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0030DD"/>
    <w:multiLevelType w:val="hybridMultilevel"/>
    <w:tmpl w:val="A876350E"/>
    <w:lvl w:ilvl="0" w:tplc="AC26DFDE">
      <w:start w:val="1"/>
      <w:numFmt w:val="bullet"/>
      <w:lvlText w:val=""/>
      <w:lvlJc w:val="left"/>
      <w:pPr>
        <w:ind w:left="417" w:hanging="360"/>
      </w:pPr>
      <w:rPr>
        <w:rFonts w:ascii="Wingdings" w:hAnsi="Wingdings" w:hint="default"/>
        <w:spacing w:val="-3"/>
        <w:w w:val="100"/>
        <w:sz w:val="24"/>
        <w:szCs w:val="24"/>
      </w:rPr>
    </w:lvl>
    <w:lvl w:ilvl="1" w:tplc="08090003" w:tentative="1">
      <w:start w:val="1"/>
      <w:numFmt w:val="bullet"/>
      <w:lvlText w:val="o"/>
      <w:lvlJc w:val="left"/>
      <w:pPr>
        <w:ind w:left="1137" w:hanging="360"/>
      </w:pPr>
      <w:rPr>
        <w:rFonts w:ascii="Courier New" w:hAnsi="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2" w15:restartNumberingAfterBreak="0">
    <w:nsid w:val="7D840768"/>
    <w:multiLevelType w:val="hybridMultilevel"/>
    <w:tmpl w:val="9A44A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F422B3"/>
    <w:multiLevelType w:val="hybridMultilevel"/>
    <w:tmpl w:val="B490A7CA"/>
    <w:lvl w:ilvl="0" w:tplc="AC26DFDE">
      <w:start w:val="1"/>
      <w:numFmt w:val="bullet"/>
      <w:lvlText w:val=""/>
      <w:lvlJc w:val="left"/>
      <w:pPr>
        <w:ind w:left="720" w:hanging="360"/>
      </w:pPr>
      <w:rPr>
        <w:rFonts w:ascii="Wingdings" w:hAnsi="Wingdings" w:hint="default"/>
        <w:spacing w:val="-3"/>
        <w:w w:val="100"/>
        <w:sz w:val="24"/>
        <w:szCs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5"/>
  </w:num>
  <w:num w:numId="4">
    <w:abstractNumId w:val="4"/>
  </w:num>
  <w:num w:numId="5">
    <w:abstractNumId w:val="16"/>
  </w:num>
  <w:num w:numId="6">
    <w:abstractNumId w:val="20"/>
  </w:num>
  <w:num w:numId="7">
    <w:abstractNumId w:val="8"/>
  </w:num>
  <w:num w:numId="8">
    <w:abstractNumId w:val="31"/>
  </w:num>
  <w:num w:numId="9">
    <w:abstractNumId w:val="33"/>
  </w:num>
  <w:num w:numId="10">
    <w:abstractNumId w:val="9"/>
  </w:num>
  <w:num w:numId="11">
    <w:abstractNumId w:val="10"/>
  </w:num>
  <w:num w:numId="12">
    <w:abstractNumId w:val="0"/>
  </w:num>
  <w:num w:numId="13">
    <w:abstractNumId w:val="19"/>
  </w:num>
  <w:num w:numId="14">
    <w:abstractNumId w:val="17"/>
  </w:num>
  <w:num w:numId="15">
    <w:abstractNumId w:val="7"/>
  </w:num>
  <w:num w:numId="16">
    <w:abstractNumId w:val="6"/>
  </w:num>
  <w:num w:numId="17">
    <w:abstractNumId w:val="11"/>
  </w:num>
  <w:num w:numId="18">
    <w:abstractNumId w:val="15"/>
  </w:num>
  <w:num w:numId="19">
    <w:abstractNumId w:val="28"/>
  </w:num>
  <w:num w:numId="20">
    <w:abstractNumId w:val="14"/>
  </w:num>
  <w:num w:numId="21">
    <w:abstractNumId w:val="12"/>
  </w:num>
  <w:num w:numId="22">
    <w:abstractNumId w:val="30"/>
  </w:num>
  <w:num w:numId="23">
    <w:abstractNumId w:val="27"/>
  </w:num>
  <w:num w:numId="24">
    <w:abstractNumId w:val="2"/>
  </w:num>
  <w:num w:numId="25">
    <w:abstractNumId w:val="26"/>
  </w:num>
  <w:num w:numId="26">
    <w:abstractNumId w:val="32"/>
  </w:num>
  <w:num w:numId="27">
    <w:abstractNumId w:val="24"/>
  </w:num>
  <w:num w:numId="28">
    <w:abstractNumId w:val="1"/>
  </w:num>
  <w:num w:numId="29">
    <w:abstractNumId w:val="5"/>
  </w:num>
  <w:num w:numId="30">
    <w:abstractNumId w:val="3"/>
  </w:num>
  <w:num w:numId="31">
    <w:abstractNumId w:val="22"/>
  </w:num>
  <w:num w:numId="32">
    <w:abstractNumId w:val="21"/>
  </w:num>
  <w:num w:numId="33">
    <w:abstractNumId w:val="29"/>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61D"/>
    <w:rsid w:val="000031C4"/>
    <w:rsid w:val="00010B0A"/>
    <w:rsid w:val="000409D7"/>
    <w:rsid w:val="00042CC7"/>
    <w:rsid w:val="00043F4F"/>
    <w:rsid w:val="00056ED7"/>
    <w:rsid w:val="00071793"/>
    <w:rsid w:val="00072369"/>
    <w:rsid w:val="000B374E"/>
    <w:rsid w:val="000B761D"/>
    <w:rsid w:val="000B7A9D"/>
    <w:rsid w:val="000C4596"/>
    <w:rsid w:val="000C5F74"/>
    <w:rsid w:val="000E336D"/>
    <w:rsid w:val="001354CA"/>
    <w:rsid w:val="00136D48"/>
    <w:rsid w:val="00152B9E"/>
    <w:rsid w:val="00153EF8"/>
    <w:rsid w:val="00165347"/>
    <w:rsid w:val="001670AE"/>
    <w:rsid w:val="001749E4"/>
    <w:rsid w:val="001A5B2E"/>
    <w:rsid w:val="001B6468"/>
    <w:rsid w:val="001B7175"/>
    <w:rsid w:val="001C2918"/>
    <w:rsid w:val="001E1B4D"/>
    <w:rsid w:val="001F09B9"/>
    <w:rsid w:val="00200D34"/>
    <w:rsid w:val="002020EB"/>
    <w:rsid w:val="00206E87"/>
    <w:rsid w:val="00214512"/>
    <w:rsid w:val="002217BC"/>
    <w:rsid w:val="002450F3"/>
    <w:rsid w:val="00245B7C"/>
    <w:rsid w:val="00255C16"/>
    <w:rsid w:val="00260E77"/>
    <w:rsid w:val="00265322"/>
    <w:rsid w:val="00290023"/>
    <w:rsid w:val="002B675E"/>
    <w:rsid w:val="002D35BB"/>
    <w:rsid w:val="002E6D6F"/>
    <w:rsid w:val="002F71EA"/>
    <w:rsid w:val="00310D50"/>
    <w:rsid w:val="003568AC"/>
    <w:rsid w:val="003668C9"/>
    <w:rsid w:val="00397A18"/>
    <w:rsid w:val="003D09B6"/>
    <w:rsid w:val="003D6307"/>
    <w:rsid w:val="003F6453"/>
    <w:rsid w:val="00407731"/>
    <w:rsid w:val="004116B8"/>
    <w:rsid w:val="00412C89"/>
    <w:rsid w:val="00415148"/>
    <w:rsid w:val="00417DE0"/>
    <w:rsid w:val="004321EB"/>
    <w:rsid w:val="00454974"/>
    <w:rsid w:val="0047270A"/>
    <w:rsid w:val="004923FF"/>
    <w:rsid w:val="004C49DD"/>
    <w:rsid w:val="004D23A7"/>
    <w:rsid w:val="004E0F96"/>
    <w:rsid w:val="005020A6"/>
    <w:rsid w:val="0055139B"/>
    <w:rsid w:val="00566317"/>
    <w:rsid w:val="005A2B04"/>
    <w:rsid w:val="005C0529"/>
    <w:rsid w:val="005D09B4"/>
    <w:rsid w:val="005E11A5"/>
    <w:rsid w:val="005F312B"/>
    <w:rsid w:val="00605269"/>
    <w:rsid w:val="00606E6C"/>
    <w:rsid w:val="00625AEF"/>
    <w:rsid w:val="00643D68"/>
    <w:rsid w:val="00662BB7"/>
    <w:rsid w:val="00673C7C"/>
    <w:rsid w:val="006955F4"/>
    <w:rsid w:val="006A5D0D"/>
    <w:rsid w:val="006E6509"/>
    <w:rsid w:val="007155DE"/>
    <w:rsid w:val="00716F9F"/>
    <w:rsid w:val="00741B71"/>
    <w:rsid w:val="00750ECC"/>
    <w:rsid w:val="00757E7D"/>
    <w:rsid w:val="007600C0"/>
    <w:rsid w:val="00770CB8"/>
    <w:rsid w:val="00772DA5"/>
    <w:rsid w:val="00777D2D"/>
    <w:rsid w:val="007931C9"/>
    <w:rsid w:val="007C1B03"/>
    <w:rsid w:val="007D2039"/>
    <w:rsid w:val="007E247B"/>
    <w:rsid w:val="007E4C2F"/>
    <w:rsid w:val="007F1E6E"/>
    <w:rsid w:val="007F3AD6"/>
    <w:rsid w:val="007F7103"/>
    <w:rsid w:val="00810BCC"/>
    <w:rsid w:val="00816E64"/>
    <w:rsid w:val="0082575A"/>
    <w:rsid w:val="00832B4B"/>
    <w:rsid w:val="00875552"/>
    <w:rsid w:val="00896541"/>
    <w:rsid w:val="008B77DD"/>
    <w:rsid w:val="008D5C30"/>
    <w:rsid w:val="008F3B61"/>
    <w:rsid w:val="00904566"/>
    <w:rsid w:val="00913880"/>
    <w:rsid w:val="009141D6"/>
    <w:rsid w:val="00960777"/>
    <w:rsid w:val="00973059"/>
    <w:rsid w:val="0098647E"/>
    <w:rsid w:val="009A72D5"/>
    <w:rsid w:val="00A33BC9"/>
    <w:rsid w:val="00A5479E"/>
    <w:rsid w:val="00A55CA9"/>
    <w:rsid w:val="00A71B51"/>
    <w:rsid w:val="00A80DCC"/>
    <w:rsid w:val="00A861DC"/>
    <w:rsid w:val="00A86FB7"/>
    <w:rsid w:val="00A93DFD"/>
    <w:rsid w:val="00AA064B"/>
    <w:rsid w:val="00AB772D"/>
    <w:rsid w:val="00AC2CB3"/>
    <w:rsid w:val="00B0443E"/>
    <w:rsid w:val="00B35EDF"/>
    <w:rsid w:val="00B43CBA"/>
    <w:rsid w:val="00B47D73"/>
    <w:rsid w:val="00B70439"/>
    <w:rsid w:val="00B71673"/>
    <w:rsid w:val="00B72208"/>
    <w:rsid w:val="00B82D7A"/>
    <w:rsid w:val="00BA284A"/>
    <w:rsid w:val="00BA7FE1"/>
    <w:rsid w:val="00C00B0F"/>
    <w:rsid w:val="00C057C3"/>
    <w:rsid w:val="00C232FB"/>
    <w:rsid w:val="00C27260"/>
    <w:rsid w:val="00C274FE"/>
    <w:rsid w:val="00C4004F"/>
    <w:rsid w:val="00C512A3"/>
    <w:rsid w:val="00C5326B"/>
    <w:rsid w:val="00C5741B"/>
    <w:rsid w:val="00C5757C"/>
    <w:rsid w:val="00C579A3"/>
    <w:rsid w:val="00C84A2A"/>
    <w:rsid w:val="00CC26C9"/>
    <w:rsid w:val="00CC5E7E"/>
    <w:rsid w:val="00CD4F86"/>
    <w:rsid w:val="00CF00BC"/>
    <w:rsid w:val="00CF25B9"/>
    <w:rsid w:val="00D077D3"/>
    <w:rsid w:val="00D30E5A"/>
    <w:rsid w:val="00D43AB7"/>
    <w:rsid w:val="00D64272"/>
    <w:rsid w:val="00D81D83"/>
    <w:rsid w:val="00D83D07"/>
    <w:rsid w:val="00D84ACF"/>
    <w:rsid w:val="00DB491D"/>
    <w:rsid w:val="00DD3C4D"/>
    <w:rsid w:val="00DF6296"/>
    <w:rsid w:val="00E14650"/>
    <w:rsid w:val="00E4085F"/>
    <w:rsid w:val="00E560C0"/>
    <w:rsid w:val="00E80F31"/>
    <w:rsid w:val="00E95511"/>
    <w:rsid w:val="00EC6E19"/>
    <w:rsid w:val="00EE0E6A"/>
    <w:rsid w:val="00F22A85"/>
    <w:rsid w:val="00F77DFE"/>
    <w:rsid w:val="00F9461E"/>
    <w:rsid w:val="00FB3EFE"/>
    <w:rsid w:val="00FB7B82"/>
    <w:rsid w:val="00FC14C6"/>
    <w:rsid w:val="00FF1FDE"/>
    <w:rsid w:val="00FF2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6941"/>
  <w14:defaultImageDpi w14:val="32767"/>
  <w15:chartTrackingRefBased/>
  <w15:docId w15:val="{C1AFB368-5A39-684E-A3D4-B11B881B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2F71E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61D"/>
    <w:pPr>
      <w:ind w:left="720"/>
      <w:contextualSpacing/>
    </w:pPr>
  </w:style>
  <w:style w:type="character" w:styleId="Hyperlink">
    <w:name w:val="Hyperlink"/>
    <w:basedOn w:val="DefaultParagraphFont"/>
    <w:uiPriority w:val="99"/>
    <w:unhideWhenUsed/>
    <w:rsid w:val="000B761D"/>
    <w:rPr>
      <w:color w:val="0563C1" w:themeColor="hyperlink"/>
      <w:u w:val="single"/>
    </w:rPr>
  </w:style>
  <w:style w:type="paragraph" w:styleId="FootnoteText">
    <w:name w:val="footnote text"/>
    <w:basedOn w:val="Normal"/>
    <w:link w:val="FootnoteTextChar"/>
    <w:uiPriority w:val="99"/>
    <w:unhideWhenUsed/>
    <w:rsid w:val="000B761D"/>
    <w:rPr>
      <w:sz w:val="20"/>
      <w:szCs w:val="20"/>
    </w:rPr>
  </w:style>
  <w:style w:type="character" w:customStyle="1" w:styleId="FootnoteTextChar">
    <w:name w:val="Footnote Text Char"/>
    <w:basedOn w:val="DefaultParagraphFont"/>
    <w:link w:val="FootnoteText"/>
    <w:uiPriority w:val="99"/>
    <w:rsid w:val="000B761D"/>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0B761D"/>
    <w:rPr>
      <w:vertAlign w:val="superscript"/>
    </w:rPr>
  </w:style>
  <w:style w:type="character" w:styleId="FollowedHyperlink">
    <w:name w:val="FollowedHyperlink"/>
    <w:basedOn w:val="DefaultParagraphFont"/>
    <w:uiPriority w:val="99"/>
    <w:semiHidden/>
    <w:unhideWhenUsed/>
    <w:rsid w:val="00454974"/>
    <w:rPr>
      <w:color w:val="954F72" w:themeColor="followedHyperlink"/>
      <w:u w:val="single"/>
    </w:rPr>
  </w:style>
  <w:style w:type="character" w:styleId="UnresolvedMention">
    <w:name w:val="Unresolved Mention"/>
    <w:basedOn w:val="DefaultParagraphFont"/>
    <w:uiPriority w:val="99"/>
    <w:rsid w:val="00C5757C"/>
    <w:rPr>
      <w:color w:val="605E5C"/>
      <w:shd w:val="clear" w:color="auto" w:fill="E1DFDD"/>
    </w:rPr>
  </w:style>
  <w:style w:type="paragraph" w:styleId="NormalWeb">
    <w:name w:val="Normal (Web)"/>
    <w:basedOn w:val="Normal"/>
    <w:uiPriority w:val="99"/>
    <w:unhideWhenUsed/>
    <w:rsid w:val="00F77DFE"/>
    <w:pPr>
      <w:spacing w:before="100" w:beforeAutospacing="1" w:after="100" w:afterAutospacing="1"/>
    </w:pPr>
  </w:style>
  <w:style w:type="character" w:styleId="Emphasis">
    <w:name w:val="Emphasis"/>
    <w:basedOn w:val="DefaultParagraphFont"/>
    <w:uiPriority w:val="20"/>
    <w:qFormat/>
    <w:rsid w:val="00D077D3"/>
    <w:rPr>
      <w:i/>
      <w:iCs/>
    </w:rPr>
  </w:style>
  <w:style w:type="character" w:customStyle="1" w:styleId="apple-converted-space">
    <w:name w:val="apple-converted-space"/>
    <w:basedOn w:val="DefaultParagraphFont"/>
    <w:rsid w:val="00D077D3"/>
  </w:style>
  <w:style w:type="paragraph" w:styleId="BalloonText">
    <w:name w:val="Balloon Text"/>
    <w:basedOn w:val="Normal"/>
    <w:link w:val="BalloonTextChar"/>
    <w:uiPriority w:val="99"/>
    <w:semiHidden/>
    <w:unhideWhenUsed/>
    <w:rsid w:val="001E1B4D"/>
    <w:rPr>
      <w:sz w:val="18"/>
      <w:szCs w:val="18"/>
    </w:rPr>
  </w:style>
  <w:style w:type="character" w:customStyle="1" w:styleId="BalloonTextChar">
    <w:name w:val="Balloon Text Char"/>
    <w:basedOn w:val="DefaultParagraphFont"/>
    <w:link w:val="BalloonText"/>
    <w:uiPriority w:val="99"/>
    <w:semiHidden/>
    <w:rsid w:val="001E1B4D"/>
    <w:rPr>
      <w:rFonts w:ascii="Times New Roman" w:eastAsia="Times New Roman" w:hAnsi="Times New Roman" w:cs="Times New Roman"/>
      <w:sz w:val="18"/>
      <w:szCs w:val="18"/>
      <w:lang w:eastAsia="en-GB"/>
    </w:rPr>
  </w:style>
  <w:style w:type="paragraph" w:styleId="Header">
    <w:name w:val="header"/>
    <w:basedOn w:val="Normal"/>
    <w:link w:val="HeaderChar"/>
    <w:uiPriority w:val="99"/>
    <w:unhideWhenUsed/>
    <w:rsid w:val="002217BC"/>
    <w:pPr>
      <w:tabs>
        <w:tab w:val="center" w:pos="4513"/>
        <w:tab w:val="right" w:pos="9026"/>
      </w:tabs>
    </w:pPr>
  </w:style>
  <w:style w:type="character" w:customStyle="1" w:styleId="HeaderChar">
    <w:name w:val="Header Char"/>
    <w:basedOn w:val="DefaultParagraphFont"/>
    <w:link w:val="Header"/>
    <w:uiPriority w:val="99"/>
    <w:rsid w:val="002217BC"/>
    <w:rPr>
      <w:rFonts w:ascii="Times New Roman" w:eastAsia="Times New Roman" w:hAnsi="Times New Roman" w:cs="Times New Roman"/>
      <w:lang w:eastAsia="en-GB"/>
    </w:rPr>
  </w:style>
  <w:style w:type="paragraph" w:styleId="Footer">
    <w:name w:val="footer"/>
    <w:basedOn w:val="Normal"/>
    <w:link w:val="FooterChar"/>
    <w:uiPriority w:val="99"/>
    <w:unhideWhenUsed/>
    <w:rsid w:val="002217BC"/>
    <w:pPr>
      <w:tabs>
        <w:tab w:val="center" w:pos="4513"/>
        <w:tab w:val="right" w:pos="9026"/>
      </w:tabs>
    </w:pPr>
  </w:style>
  <w:style w:type="character" w:customStyle="1" w:styleId="FooterChar">
    <w:name w:val="Footer Char"/>
    <w:basedOn w:val="DefaultParagraphFont"/>
    <w:link w:val="Footer"/>
    <w:uiPriority w:val="99"/>
    <w:rsid w:val="002217BC"/>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9670">
      <w:bodyDiv w:val="1"/>
      <w:marLeft w:val="0"/>
      <w:marRight w:val="0"/>
      <w:marTop w:val="0"/>
      <w:marBottom w:val="0"/>
      <w:divBdr>
        <w:top w:val="none" w:sz="0" w:space="0" w:color="auto"/>
        <w:left w:val="none" w:sz="0" w:space="0" w:color="auto"/>
        <w:bottom w:val="none" w:sz="0" w:space="0" w:color="auto"/>
        <w:right w:val="none" w:sz="0" w:space="0" w:color="auto"/>
      </w:divBdr>
      <w:divsChild>
        <w:div w:id="932277312">
          <w:marLeft w:val="576"/>
          <w:marRight w:val="0"/>
          <w:marTop w:val="80"/>
          <w:marBottom w:val="0"/>
          <w:divBdr>
            <w:top w:val="none" w:sz="0" w:space="0" w:color="auto"/>
            <w:left w:val="none" w:sz="0" w:space="0" w:color="auto"/>
            <w:bottom w:val="none" w:sz="0" w:space="0" w:color="auto"/>
            <w:right w:val="none" w:sz="0" w:space="0" w:color="auto"/>
          </w:divBdr>
        </w:div>
      </w:divsChild>
    </w:div>
    <w:div w:id="151337192">
      <w:bodyDiv w:val="1"/>
      <w:marLeft w:val="0"/>
      <w:marRight w:val="0"/>
      <w:marTop w:val="0"/>
      <w:marBottom w:val="0"/>
      <w:divBdr>
        <w:top w:val="none" w:sz="0" w:space="0" w:color="auto"/>
        <w:left w:val="none" w:sz="0" w:space="0" w:color="auto"/>
        <w:bottom w:val="none" w:sz="0" w:space="0" w:color="auto"/>
        <w:right w:val="none" w:sz="0" w:space="0" w:color="auto"/>
      </w:divBdr>
    </w:div>
    <w:div w:id="185949346">
      <w:bodyDiv w:val="1"/>
      <w:marLeft w:val="0"/>
      <w:marRight w:val="0"/>
      <w:marTop w:val="0"/>
      <w:marBottom w:val="0"/>
      <w:divBdr>
        <w:top w:val="none" w:sz="0" w:space="0" w:color="auto"/>
        <w:left w:val="none" w:sz="0" w:space="0" w:color="auto"/>
        <w:bottom w:val="none" w:sz="0" w:space="0" w:color="auto"/>
        <w:right w:val="none" w:sz="0" w:space="0" w:color="auto"/>
      </w:divBdr>
      <w:divsChild>
        <w:div w:id="561215133">
          <w:marLeft w:val="0"/>
          <w:marRight w:val="0"/>
          <w:marTop w:val="0"/>
          <w:marBottom w:val="0"/>
          <w:divBdr>
            <w:top w:val="none" w:sz="0" w:space="0" w:color="auto"/>
            <w:left w:val="none" w:sz="0" w:space="0" w:color="auto"/>
            <w:bottom w:val="none" w:sz="0" w:space="0" w:color="auto"/>
            <w:right w:val="none" w:sz="0" w:space="0" w:color="auto"/>
          </w:divBdr>
          <w:divsChild>
            <w:div w:id="1415468032">
              <w:marLeft w:val="0"/>
              <w:marRight w:val="0"/>
              <w:marTop w:val="0"/>
              <w:marBottom w:val="0"/>
              <w:divBdr>
                <w:top w:val="none" w:sz="0" w:space="0" w:color="auto"/>
                <w:left w:val="none" w:sz="0" w:space="0" w:color="auto"/>
                <w:bottom w:val="none" w:sz="0" w:space="0" w:color="auto"/>
                <w:right w:val="none" w:sz="0" w:space="0" w:color="auto"/>
              </w:divBdr>
              <w:divsChild>
                <w:div w:id="16888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561222">
      <w:bodyDiv w:val="1"/>
      <w:marLeft w:val="0"/>
      <w:marRight w:val="0"/>
      <w:marTop w:val="0"/>
      <w:marBottom w:val="0"/>
      <w:divBdr>
        <w:top w:val="none" w:sz="0" w:space="0" w:color="auto"/>
        <w:left w:val="none" w:sz="0" w:space="0" w:color="auto"/>
        <w:bottom w:val="none" w:sz="0" w:space="0" w:color="auto"/>
        <w:right w:val="none" w:sz="0" w:space="0" w:color="auto"/>
      </w:divBdr>
    </w:div>
    <w:div w:id="521824077">
      <w:bodyDiv w:val="1"/>
      <w:marLeft w:val="0"/>
      <w:marRight w:val="0"/>
      <w:marTop w:val="0"/>
      <w:marBottom w:val="0"/>
      <w:divBdr>
        <w:top w:val="none" w:sz="0" w:space="0" w:color="auto"/>
        <w:left w:val="none" w:sz="0" w:space="0" w:color="auto"/>
        <w:bottom w:val="none" w:sz="0" w:space="0" w:color="auto"/>
        <w:right w:val="none" w:sz="0" w:space="0" w:color="auto"/>
      </w:divBdr>
      <w:divsChild>
        <w:div w:id="1902399167">
          <w:marLeft w:val="0"/>
          <w:marRight w:val="0"/>
          <w:marTop w:val="0"/>
          <w:marBottom w:val="0"/>
          <w:divBdr>
            <w:top w:val="none" w:sz="0" w:space="0" w:color="auto"/>
            <w:left w:val="none" w:sz="0" w:space="0" w:color="auto"/>
            <w:bottom w:val="none" w:sz="0" w:space="0" w:color="auto"/>
            <w:right w:val="none" w:sz="0" w:space="0" w:color="auto"/>
          </w:divBdr>
          <w:divsChild>
            <w:div w:id="792283124">
              <w:marLeft w:val="0"/>
              <w:marRight w:val="0"/>
              <w:marTop w:val="0"/>
              <w:marBottom w:val="0"/>
              <w:divBdr>
                <w:top w:val="none" w:sz="0" w:space="0" w:color="auto"/>
                <w:left w:val="none" w:sz="0" w:space="0" w:color="auto"/>
                <w:bottom w:val="none" w:sz="0" w:space="0" w:color="auto"/>
                <w:right w:val="none" w:sz="0" w:space="0" w:color="auto"/>
              </w:divBdr>
              <w:divsChild>
                <w:div w:id="1167479762">
                  <w:marLeft w:val="0"/>
                  <w:marRight w:val="0"/>
                  <w:marTop w:val="0"/>
                  <w:marBottom w:val="0"/>
                  <w:divBdr>
                    <w:top w:val="none" w:sz="0" w:space="0" w:color="auto"/>
                    <w:left w:val="none" w:sz="0" w:space="0" w:color="auto"/>
                    <w:bottom w:val="none" w:sz="0" w:space="0" w:color="auto"/>
                    <w:right w:val="none" w:sz="0" w:space="0" w:color="auto"/>
                  </w:divBdr>
                  <w:divsChild>
                    <w:div w:id="15781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764680">
      <w:bodyDiv w:val="1"/>
      <w:marLeft w:val="0"/>
      <w:marRight w:val="0"/>
      <w:marTop w:val="0"/>
      <w:marBottom w:val="0"/>
      <w:divBdr>
        <w:top w:val="none" w:sz="0" w:space="0" w:color="auto"/>
        <w:left w:val="none" w:sz="0" w:space="0" w:color="auto"/>
        <w:bottom w:val="none" w:sz="0" w:space="0" w:color="auto"/>
        <w:right w:val="none" w:sz="0" w:space="0" w:color="auto"/>
      </w:divBdr>
      <w:divsChild>
        <w:div w:id="901715510">
          <w:marLeft w:val="0"/>
          <w:marRight w:val="0"/>
          <w:marTop w:val="0"/>
          <w:marBottom w:val="0"/>
          <w:divBdr>
            <w:top w:val="none" w:sz="0" w:space="0" w:color="auto"/>
            <w:left w:val="none" w:sz="0" w:space="0" w:color="auto"/>
            <w:bottom w:val="none" w:sz="0" w:space="0" w:color="auto"/>
            <w:right w:val="none" w:sz="0" w:space="0" w:color="auto"/>
          </w:divBdr>
          <w:divsChild>
            <w:div w:id="109125669">
              <w:marLeft w:val="0"/>
              <w:marRight w:val="0"/>
              <w:marTop w:val="0"/>
              <w:marBottom w:val="0"/>
              <w:divBdr>
                <w:top w:val="none" w:sz="0" w:space="0" w:color="auto"/>
                <w:left w:val="none" w:sz="0" w:space="0" w:color="auto"/>
                <w:bottom w:val="none" w:sz="0" w:space="0" w:color="auto"/>
                <w:right w:val="none" w:sz="0" w:space="0" w:color="auto"/>
              </w:divBdr>
              <w:divsChild>
                <w:div w:id="6680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6848">
      <w:bodyDiv w:val="1"/>
      <w:marLeft w:val="0"/>
      <w:marRight w:val="0"/>
      <w:marTop w:val="0"/>
      <w:marBottom w:val="0"/>
      <w:divBdr>
        <w:top w:val="none" w:sz="0" w:space="0" w:color="auto"/>
        <w:left w:val="none" w:sz="0" w:space="0" w:color="auto"/>
        <w:bottom w:val="none" w:sz="0" w:space="0" w:color="auto"/>
        <w:right w:val="none" w:sz="0" w:space="0" w:color="auto"/>
      </w:divBdr>
      <w:divsChild>
        <w:div w:id="900288799">
          <w:marLeft w:val="0"/>
          <w:marRight w:val="0"/>
          <w:marTop w:val="0"/>
          <w:marBottom w:val="0"/>
          <w:divBdr>
            <w:top w:val="none" w:sz="0" w:space="0" w:color="auto"/>
            <w:left w:val="none" w:sz="0" w:space="0" w:color="auto"/>
            <w:bottom w:val="none" w:sz="0" w:space="0" w:color="auto"/>
            <w:right w:val="none" w:sz="0" w:space="0" w:color="auto"/>
          </w:divBdr>
          <w:divsChild>
            <w:div w:id="140706164">
              <w:marLeft w:val="0"/>
              <w:marRight w:val="0"/>
              <w:marTop w:val="0"/>
              <w:marBottom w:val="0"/>
              <w:divBdr>
                <w:top w:val="none" w:sz="0" w:space="0" w:color="auto"/>
                <w:left w:val="none" w:sz="0" w:space="0" w:color="auto"/>
                <w:bottom w:val="none" w:sz="0" w:space="0" w:color="auto"/>
                <w:right w:val="none" w:sz="0" w:space="0" w:color="auto"/>
              </w:divBdr>
              <w:divsChild>
                <w:div w:id="198338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738438">
      <w:bodyDiv w:val="1"/>
      <w:marLeft w:val="0"/>
      <w:marRight w:val="0"/>
      <w:marTop w:val="0"/>
      <w:marBottom w:val="0"/>
      <w:divBdr>
        <w:top w:val="none" w:sz="0" w:space="0" w:color="auto"/>
        <w:left w:val="none" w:sz="0" w:space="0" w:color="auto"/>
        <w:bottom w:val="none" w:sz="0" w:space="0" w:color="auto"/>
        <w:right w:val="none" w:sz="0" w:space="0" w:color="auto"/>
      </w:divBdr>
      <w:divsChild>
        <w:div w:id="1553737532">
          <w:marLeft w:val="576"/>
          <w:marRight w:val="0"/>
          <w:marTop w:val="80"/>
          <w:marBottom w:val="0"/>
          <w:divBdr>
            <w:top w:val="none" w:sz="0" w:space="0" w:color="auto"/>
            <w:left w:val="none" w:sz="0" w:space="0" w:color="auto"/>
            <w:bottom w:val="none" w:sz="0" w:space="0" w:color="auto"/>
            <w:right w:val="none" w:sz="0" w:space="0" w:color="auto"/>
          </w:divBdr>
        </w:div>
      </w:divsChild>
    </w:div>
    <w:div w:id="993146196">
      <w:bodyDiv w:val="1"/>
      <w:marLeft w:val="0"/>
      <w:marRight w:val="0"/>
      <w:marTop w:val="0"/>
      <w:marBottom w:val="0"/>
      <w:divBdr>
        <w:top w:val="none" w:sz="0" w:space="0" w:color="auto"/>
        <w:left w:val="none" w:sz="0" w:space="0" w:color="auto"/>
        <w:bottom w:val="none" w:sz="0" w:space="0" w:color="auto"/>
        <w:right w:val="none" w:sz="0" w:space="0" w:color="auto"/>
      </w:divBdr>
      <w:divsChild>
        <w:div w:id="963005206">
          <w:marLeft w:val="0"/>
          <w:marRight w:val="0"/>
          <w:marTop w:val="0"/>
          <w:marBottom w:val="0"/>
          <w:divBdr>
            <w:top w:val="none" w:sz="0" w:space="0" w:color="auto"/>
            <w:left w:val="none" w:sz="0" w:space="0" w:color="auto"/>
            <w:bottom w:val="none" w:sz="0" w:space="0" w:color="auto"/>
            <w:right w:val="none" w:sz="0" w:space="0" w:color="auto"/>
          </w:divBdr>
          <w:divsChild>
            <w:div w:id="1558591573">
              <w:marLeft w:val="0"/>
              <w:marRight w:val="0"/>
              <w:marTop w:val="0"/>
              <w:marBottom w:val="0"/>
              <w:divBdr>
                <w:top w:val="none" w:sz="0" w:space="0" w:color="auto"/>
                <w:left w:val="none" w:sz="0" w:space="0" w:color="auto"/>
                <w:bottom w:val="none" w:sz="0" w:space="0" w:color="auto"/>
                <w:right w:val="none" w:sz="0" w:space="0" w:color="auto"/>
              </w:divBdr>
              <w:divsChild>
                <w:div w:id="5616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4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mpowermentmattersweb.files.wordpress.com/2014/09/assessing-capacity-financial-decisions-guidance-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bailii.org/ew/cases/EWCOP/2015/80.html" TargetMode="External"/><Relationship Id="rId3" Type="http://schemas.openxmlformats.org/officeDocument/2006/relationships/hyperlink" Target="https://www.bailii.org/ew/cases/EWHC/Fam/2017/2435.html" TargetMode="External"/><Relationship Id="rId7" Type="http://schemas.openxmlformats.org/officeDocument/2006/relationships/hyperlink" Target="https://www.fscs.org.uk/" TargetMode="External"/><Relationship Id="rId2" Type="http://schemas.openxmlformats.org/officeDocument/2006/relationships/hyperlink" Target="https://www.gov.uk/government/publications/procedures-for-dealing-with-agents-appointees-attorneys-deputies-and-third-parties/part-5-appointee" TargetMode="External"/><Relationship Id="rId1" Type="http://schemas.openxmlformats.org/officeDocument/2006/relationships/hyperlink" Target="https://arcuk.org.uk/wp-content/uploads/2013/05/Helping-young-people-with-learning-disabilities-to-understand-money.pdf" TargetMode="External"/><Relationship Id="rId6" Type="http://schemas.openxmlformats.org/officeDocument/2006/relationships/hyperlink" Target="https://www.bailii.org/ew/cases/EWCOP/2015/80.html" TargetMode="External"/><Relationship Id="rId11" Type="http://schemas.openxmlformats.org/officeDocument/2006/relationships/hyperlink" Target="https://www.gov.uk/government/publications/care-act-statutory-guidance/care-and-support-statutory-guidance" TargetMode="External"/><Relationship Id="rId5" Type="http://schemas.openxmlformats.org/officeDocument/2006/relationships/hyperlink" Target="https://www.casemine.com/judgement/uk/5a8ff7ba60d03e7f57eb1944" TargetMode="External"/><Relationship Id="rId10" Type="http://schemas.openxmlformats.org/officeDocument/2006/relationships/hyperlink" Target="https://1f2ca7mxjow42e65q49871m1-wpengine.netdna-ssl.com/wp-content/uploads/2019/03/Mental-Capacity-Guidance-Note-Capacity-Assessment-June-2020.pdf" TargetMode="External"/><Relationship Id="rId4" Type="http://schemas.openxmlformats.org/officeDocument/2006/relationships/hyperlink" Target="https://www.bailii.org/ew/cases/EWHC/COP/2012/2136.html" TargetMode="External"/><Relationship Id="rId9" Type="http://schemas.openxmlformats.org/officeDocument/2006/relationships/hyperlink" Target="https://www.bailii.org/ew/cases/EWCOP/2020/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2808</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Richards</dc:creator>
  <cp:keywords/>
  <dc:description/>
  <cp:lastModifiedBy>Helen Pearson</cp:lastModifiedBy>
  <cp:revision>3</cp:revision>
  <cp:lastPrinted>2020-07-20T08:12:00Z</cp:lastPrinted>
  <dcterms:created xsi:type="dcterms:W3CDTF">2021-02-19T15:34:00Z</dcterms:created>
  <dcterms:modified xsi:type="dcterms:W3CDTF">2021-02-19T15:39:00Z</dcterms:modified>
</cp:coreProperties>
</file>