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EFD80" w14:textId="42F4FBB8" w:rsidR="001D72EF" w:rsidRDefault="00FD1ECE">
      <w:pPr>
        <w:pStyle w:val="Title"/>
      </w:pPr>
      <w:r>
        <w:t xml:space="preserve"> </w:t>
      </w:r>
      <w:r w:rsidR="002C2F09">
        <w:t>Adult Safeguarding – Use of Agency Powers and Gaining Access</w:t>
      </w:r>
    </w:p>
    <w:p w14:paraId="309FF370" w14:textId="77777777" w:rsidR="001D72EF" w:rsidRDefault="002C2F09">
      <w:pPr>
        <w:pStyle w:val="Heading1"/>
      </w:pPr>
      <w:r>
        <w:t>1. Purpose</w:t>
      </w:r>
    </w:p>
    <w:p w14:paraId="034AE4A9" w14:textId="77777777" w:rsidR="001D72EF" w:rsidRDefault="002C2F09">
      <w:r>
        <w:t>This guide provides a single, coherent reference for practitioners working with adults at risk of abuse or neglect, setting out the legal framework, practice principles, and agency powers that may be used where engagement is difficult, access is restricted or denied, or risks are escalating.</w:t>
      </w:r>
    </w:p>
    <w:p w14:paraId="6B32DA1E" w14:textId="77777777" w:rsidR="001D72EF" w:rsidRDefault="002C2F09">
      <w:pPr>
        <w:pStyle w:val="Heading1"/>
      </w:pPr>
      <w:r>
        <w:t>2. Legal Context and Safeguarding Duties</w:t>
      </w:r>
    </w:p>
    <w:p w14:paraId="18E6AFFB" w14:textId="7DE0AB47" w:rsidR="001D72EF" w:rsidRDefault="002C2F09">
      <w:r>
        <w:t xml:space="preserve">Under Section 42 of the Care Act 2014, local authorities have a duty to make enquiries where an adult has care and support needs, is experiencing or at risk of abuse or neglect, and due to those needs is unable to protect themselves. The Care Act </w:t>
      </w:r>
      <w:r w:rsidR="00185F4E" w:rsidRPr="00185F4E">
        <w:rPr>
          <w:b/>
          <w:bCs/>
        </w:rPr>
        <w:t>itself does not</w:t>
      </w:r>
      <w:r>
        <w:t xml:space="preserve"> provide a power of entry; therefore, practitioners must consider proportionate use of wider legal powers.</w:t>
      </w:r>
    </w:p>
    <w:p w14:paraId="64F9FD22" w14:textId="77777777" w:rsidR="001D72EF" w:rsidRDefault="002C2F09">
      <w:pPr>
        <w:pStyle w:val="Heading1"/>
      </w:pPr>
      <w:r>
        <w:t>3. Practice Principles</w:t>
      </w:r>
    </w:p>
    <w:p w14:paraId="6570F018" w14:textId="77777777" w:rsidR="001D72EF" w:rsidRDefault="002C2F09">
      <w:r>
        <w:t>All safeguarding action must be lawful, necessary, proportionate, and the least restrictive option available. Practice should be person-led and outcome focused in line with Making Safeguarding Personal, and compliant with human rights obligations under Articles 5 and 8 of the European Convention on Human Rights.</w:t>
      </w:r>
    </w:p>
    <w:p w14:paraId="38B7B464" w14:textId="77777777" w:rsidR="001D72EF" w:rsidRDefault="002C2F09">
      <w:pPr>
        <w:pStyle w:val="ListBullet"/>
      </w:pPr>
      <w:r>
        <w:t>Empowerment – supporting people to make their own decisions where possible.</w:t>
      </w:r>
    </w:p>
    <w:p w14:paraId="7A903AD7" w14:textId="77777777" w:rsidR="001D72EF" w:rsidRDefault="002C2F09">
      <w:pPr>
        <w:pStyle w:val="ListBullet"/>
      </w:pPr>
      <w:r>
        <w:t>Protection – supporting those at greatest risk.</w:t>
      </w:r>
    </w:p>
    <w:p w14:paraId="0A2E3422" w14:textId="77777777" w:rsidR="001D72EF" w:rsidRDefault="002C2F09">
      <w:pPr>
        <w:pStyle w:val="ListBullet"/>
      </w:pPr>
      <w:r>
        <w:t>Prevention – acting early to reduce harm.</w:t>
      </w:r>
    </w:p>
    <w:p w14:paraId="2992B0BA" w14:textId="77777777" w:rsidR="001D72EF" w:rsidRDefault="002C2F09">
      <w:pPr>
        <w:pStyle w:val="ListBullet"/>
      </w:pPr>
      <w:r>
        <w:t>Proportionality – least intrusive responses.</w:t>
      </w:r>
    </w:p>
    <w:p w14:paraId="7B92A822" w14:textId="77777777" w:rsidR="001D72EF" w:rsidRDefault="002C2F09">
      <w:pPr>
        <w:pStyle w:val="ListBullet"/>
      </w:pPr>
      <w:r>
        <w:t>Partnership – working with relevant agencies.</w:t>
      </w:r>
    </w:p>
    <w:p w14:paraId="44491504" w14:textId="77777777" w:rsidR="001D72EF" w:rsidRDefault="002C2F09">
      <w:pPr>
        <w:pStyle w:val="ListBullet"/>
      </w:pPr>
      <w:r>
        <w:t>Accountability – clear decision-making and recording.</w:t>
      </w:r>
    </w:p>
    <w:p w14:paraId="42B80D40" w14:textId="77777777" w:rsidR="001D72EF" w:rsidRDefault="002C2F09">
      <w:pPr>
        <w:pStyle w:val="Heading1"/>
      </w:pPr>
      <w:r>
        <w:t>4. Steps Before Considering Legal or Enforcement Powers</w:t>
      </w:r>
    </w:p>
    <w:p w14:paraId="29E11F14" w14:textId="77777777" w:rsidR="001D72EF" w:rsidRDefault="002C2F09">
      <w:pPr>
        <w:pStyle w:val="ListNumber"/>
      </w:pPr>
      <w:r>
        <w:t>Attempt engagement, negotiation and trust-building with the adult.</w:t>
      </w:r>
    </w:p>
    <w:p w14:paraId="3C71F90A" w14:textId="77777777" w:rsidR="001D72EF" w:rsidRDefault="002C2F09">
      <w:pPr>
        <w:pStyle w:val="ListNumber"/>
      </w:pPr>
      <w:r>
        <w:t>Assess and record mental capacity in relation to the specific decision.</w:t>
      </w:r>
    </w:p>
    <w:p w14:paraId="7B6BC600" w14:textId="77777777" w:rsidR="001D72EF" w:rsidRDefault="002C2F09">
      <w:pPr>
        <w:pStyle w:val="ListNumber"/>
      </w:pPr>
      <w:r>
        <w:t>Clarify and evidence risks to the adult and others.</w:t>
      </w:r>
    </w:p>
    <w:p w14:paraId="7097F83D" w14:textId="77777777" w:rsidR="001D72EF" w:rsidRDefault="002C2F09">
      <w:pPr>
        <w:pStyle w:val="ListNumber"/>
      </w:pPr>
      <w:r>
        <w:t>Consult managers, safeguarding leads and legal services.</w:t>
      </w:r>
    </w:p>
    <w:p w14:paraId="111B4150" w14:textId="77777777" w:rsidR="001D72EF" w:rsidRDefault="002C2F09">
      <w:pPr>
        <w:pStyle w:val="ListNumber"/>
      </w:pPr>
      <w:r>
        <w:t>Ensure actions are necessary and proportionate.</w:t>
      </w:r>
    </w:p>
    <w:p w14:paraId="5DA544FF" w14:textId="77777777" w:rsidR="001D72EF" w:rsidRDefault="002C2F09">
      <w:pPr>
        <w:pStyle w:val="Heading1"/>
      </w:pPr>
      <w:r>
        <w:lastRenderedPageBreak/>
        <w:t>5. Agency Powers and Referral Pathways</w:t>
      </w:r>
    </w:p>
    <w:p w14:paraId="2854C78D" w14:textId="77777777" w:rsidR="001D72EF" w:rsidRDefault="002C2F09">
      <w:pPr>
        <w:pStyle w:val="Heading2"/>
      </w:pPr>
      <w:r>
        <w:t>5.1 Environmental Health</w:t>
      </w:r>
    </w:p>
    <w:p w14:paraId="577828B0" w14:textId="4120D3A4" w:rsidR="001D72EF" w:rsidRDefault="002C2F09">
      <w:r>
        <w:t>Environmental Health powers may be used where premises are  verminous, hazardous, or prejudicial to health, including hoarding, pest infestations, or refusal of access preventing inspection or works.</w:t>
      </w:r>
    </w:p>
    <w:p w14:paraId="37BDD82E" w14:textId="77777777" w:rsidR="001D72EF" w:rsidRDefault="002C2F09">
      <w:pPr>
        <w:pStyle w:val="ListBullet"/>
      </w:pPr>
      <w:r>
        <w:t>Public Health Act 1936/1961 – power of entry or warrant for survey, examination, and execution of works.</w:t>
      </w:r>
    </w:p>
    <w:p w14:paraId="091B3A4D" w14:textId="77777777" w:rsidR="001D72EF" w:rsidRDefault="002C2F09">
      <w:pPr>
        <w:pStyle w:val="ListBullet"/>
      </w:pPr>
      <w:r>
        <w:t>Public Health Act 1936 Section 83 – enforcement notices for filthy or verminous premises.</w:t>
      </w:r>
    </w:p>
    <w:p w14:paraId="74984A6D" w14:textId="77777777" w:rsidR="001D72EF" w:rsidRDefault="002C2F09">
      <w:pPr>
        <w:pStyle w:val="ListBullet"/>
      </w:pPr>
      <w:r>
        <w:t>Environmental Protection Act 1990 – abatement notices for statutory nuisance.</w:t>
      </w:r>
    </w:p>
    <w:p w14:paraId="116C291E" w14:textId="77777777" w:rsidR="001D72EF" w:rsidRDefault="002C2F09">
      <w:pPr>
        <w:pStyle w:val="ListBullet"/>
      </w:pPr>
      <w:r>
        <w:t>Prevention of Damage by Pests Act 1949 – action where rats or mice are present.</w:t>
      </w:r>
    </w:p>
    <w:p w14:paraId="7D721E90" w14:textId="77777777" w:rsidR="001D72EF" w:rsidRDefault="002C2F09">
      <w:pPr>
        <w:pStyle w:val="ListBullet"/>
      </w:pPr>
      <w:r>
        <w:t>Control of Disease Act 1984 Section 46 – restrictions to control spread of disease.</w:t>
      </w:r>
    </w:p>
    <w:p w14:paraId="1E0B8322" w14:textId="77777777" w:rsidR="001D72EF" w:rsidRDefault="002C2F09">
      <w:pPr>
        <w:pStyle w:val="Heading2"/>
      </w:pPr>
      <w:r>
        <w:t>5.2 Fire and Rescue Service</w:t>
      </w:r>
    </w:p>
    <w:p w14:paraId="3AB27CE7" w14:textId="77777777" w:rsidR="001D72EF" w:rsidRDefault="002C2F09">
      <w:r>
        <w:t>Under the Regulatory Reform (Fire Safety) Order 2005, Fire and Rescue Services may issue prohibition or restriction notices where fire risk places relevant persons at risk, including in some single dwellings.</w:t>
      </w:r>
    </w:p>
    <w:p w14:paraId="6C6E83AE" w14:textId="77777777" w:rsidR="001D72EF" w:rsidRDefault="002C2F09">
      <w:pPr>
        <w:pStyle w:val="Heading2"/>
      </w:pPr>
      <w:r>
        <w:t>5.3 Police</w:t>
      </w:r>
    </w:p>
    <w:p w14:paraId="66BE9B47" w14:textId="77777777" w:rsidR="001D72EF" w:rsidRDefault="002C2F09">
      <w:r>
        <w:t>Police powers apply in emergencies or where criminal thresholds are met.</w:t>
      </w:r>
    </w:p>
    <w:p w14:paraId="3957D061" w14:textId="77777777" w:rsidR="001D72EF" w:rsidRDefault="002C2F09">
      <w:pPr>
        <w:pStyle w:val="ListBullet"/>
      </w:pPr>
      <w:r>
        <w:t>PACE 1984 Section 17(1)(e) – entry without warrant to save life or prevent serious harm.</w:t>
      </w:r>
    </w:p>
    <w:p w14:paraId="78E1EE0E" w14:textId="77777777" w:rsidR="001D72EF" w:rsidRDefault="002C2F09">
      <w:pPr>
        <w:pStyle w:val="ListBullet"/>
      </w:pPr>
      <w:r>
        <w:t>PACE 1984 Section 17(1)(b) – entry to arrest for indictable offences.</w:t>
      </w:r>
    </w:p>
    <w:p w14:paraId="0E76809B" w14:textId="77777777" w:rsidR="001D72EF" w:rsidRDefault="002C2F09">
      <w:pPr>
        <w:pStyle w:val="ListBullet"/>
      </w:pPr>
      <w:r>
        <w:t>Mental Health Act 1983 Section 135 – warrant to enter and remove a person to a place of safety.</w:t>
      </w:r>
    </w:p>
    <w:p w14:paraId="733074FA" w14:textId="77777777" w:rsidR="001D72EF" w:rsidRDefault="002C2F09">
      <w:pPr>
        <w:pStyle w:val="Heading2"/>
      </w:pPr>
      <w:r>
        <w:t>5.4 Housing</w:t>
      </w:r>
    </w:p>
    <w:p w14:paraId="25047D47" w14:textId="77777777" w:rsidR="001D72EF" w:rsidRDefault="002C2F09">
      <w:r>
        <w:t>Housing powers may be used where property conditions or behaviour create health and safety risks or serious tenancy breaches.</w:t>
      </w:r>
    </w:p>
    <w:p w14:paraId="3846DA58" w14:textId="77777777" w:rsidR="001D72EF" w:rsidRDefault="002C2F09">
      <w:pPr>
        <w:pStyle w:val="ListBullet"/>
      </w:pPr>
      <w:r>
        <w:t>Housing Act 2004 – enforcement action for Category 1 or 2 hazards.</w:t>
      </w:r>
    </w:p>
    <w:p w14:paraId="11333BBC" w14:textId="77777777" w:rsidR="001D72EF" w:rsidRDefault="002C2F09">
      <w:pPr>
        <w:pStyle w:val="ListBullet"/>
      </w:pPr>
      <w:r>
        <w:t>Improvement Notices, Prohibition Orders, Emergency Remedial Action, or Demolition Orders.</w:t>
      </w:r>
    </w:p>
    <w:p w14:paraId="758765FF" w14:textId="77777777" w:rsidR="001D72EF" w:rsidRDefault="002C2F09">
      <w:pPr>
        <w:pStyle w:val="ListBullet"/>
      </w:pPr>
      <w:r>
        <w:t>Housing Acts 1985 and 1988 – possession action in extreme cases of tenancy breach.</w:t>
      </w:r>
    </w:p>
    <w:p w14:paraId="6660EB82" w14:textId="77777777" w:rsidR="001D72EF" w:rsidRDefault="002C2F09">
      <w:pPr>
        <w:pStyle w:val="Heading2"/>
      </w:pPr>
      <w:r>
        <w:t>5.5 Mental Health and Mental Capacity</w:t>
      </w:r>
    </w:p>
    <w:p w14:paraId="2F37CE71" w14:textId="77777777" w:rsidR="001D72EF" w:rsidRDefault="002C2F09">
      <w:r>
        <w:t>Mental Health and Mental Capacity legislation must be considered where risk is linked to mental disorder or impaired decision-making.</w:t>
      </w:r>
    </w:p>
    <w:p w14:paraId="0AF79454" w14:textId="77777777" w:rsidR="001D72EF" w:rsidRDefault="002C2F09">
      <w:pPr>
        <w:pStyle w:val="ListBullet"/>
      </w:pPr>
      <w:r>
        <w:t>Mental Health Act 1983 Sections 2 and 3 – compulsory admission for assessment or treatment.</w:t>
      </w:r>
    </w:p>
    <w:p w14:paraId="570214BC" w14:textId="77777777" w:rsidR="001D72EF" w:rsidRDefault="002C2F09">
      <w:pPr>
        <w:pStyle w:val="ListBullet"/>
      </w:pPr>
      <w:r>
        <w:lastRenderedPageBreak/>
        <w:t>Mental Health Act 1983 Section 7 – Guardianship Orders.</w:t>
      </w:r>
    </w:p>
    <w:p w14:paraId="05E24F4F" w14:textId="77777777" w:rsidR="001D72EF" w:rsidRDefault="002C2F09">
      <w:pPr>
        <w:pStyle w:val="ListBullet"/>
      </w:pPr>
      <w:r>
        <w:t>Mental Capacity Act 2005 – best interest decisions where a person lacks capacity.</w:t>
      </w:r>
    </w:p>
    <w:p w14:paraId="56094976" w14:textId="77777777" w:rsidR="001D72EF" w:rsidRDefault="002C2F09">
      <w:pPr>
        <w:pStyle w:val="ListBullet"/>
      </w:pPr>
      <w:r>
        <w:t>Court of Protection – decisions relating to welfare or property for those lacking capacity.</w:t>
      </w:r>
    </w:p>
    <w:p w14:paraId="3D5423CF" w14:textId="77777777" w:rsidR="001D72EF" w:rsidRDefault="002C2F09">
      <w:pPr>
        <w:pStyle w:val="Heading2"/>
      </w:pPr>
      <w:r>
        <w:t>5.6 High Court Inherent Jurisdiction</w:t>
      </w:r>
    </w:p>
    <w:p w14:paraId="5FEEA446" w14:textId="77777777" w:rsidR="001D72EF" w:rsidRDefault="002C2F09">
      <w:r>
        <w:t>The High Court’s inherent jurisdiction may be used to protect adults with capacity who cannot exercise it freely due to coercion or undue influence.</w:t>
      </w:r>
    </w:p>
    <w:p w14:paraId="6120F6BB" w14:textId="77777777" w:rsidR="001D72EF" w:rsidRDefault="002C2F09">
      <w:pPr>
        <w:pStyle w:val="Heading1"/>
      </w:pPr>
      <w:r>
        <w:t>6. Emergency Situations</w:t>
      </w:r>
    </w:p>
    <w:p w14:paraId="48A653F4" w14:textId="77777777" w:rsidR="001D72EF" w:rsidRDefault="002C2F09">
      <w:r>
        <w:t>Where there is an immediate risk to life or serious harm, emergency powers should be used without delay. Police involvement under PACE Section 17(1)(e) may be required. Legal advice should be sought as soon as practicable where time allows.</w:t>
      </w:r>
    </w:p>
    <w:p w14:paraId="2FEF8053" w14:textId="77777777" w:rsidR="001D72EF" w:rsidRDefault="002C2F09">
      <w:pPr>
        <w:pStyle w:val="Heading1"/>
      </w:pPr>
      <w:r>
        <w:t>7. Recording, Review and Accountability</w:t>
      </w:r>
    </w:p>
    <w:p w14:paraId="121AAAF9" w14:textId="77777777" w:rsidR="001D72EF" w:rsidRDefault="002C2F09">
      <w:r>
        <w:t>All decisions must be clearly recorded, including rationale, consideration of human rights, capacity assessments, and why the chosen action is necessary and proportionate. Multi-agency actions should be coordinated through a Lead Enquiry Officer where applicable.</w:t>
      </w:r>
    </w:p>
    <w:p w14:paraId="65D3ACCF" w14:textId="77777777" w:rsidR="00A34D29" w:rsidRDefault="00A34D29"/>
    <w:p w14:paraId="0BECED4C" w14:textId="77777777" w:rsidR="00A34D29" w:rsidRDefault="00A34D29"/>
    <w:p w14:paraId="225BE09B" w14:textId="77777777" w:rsidR="00A34D29" w:rsidRDefault="00A34D29"/>
    <w:p w14:paraId="3BB50083" w14:textId="77777777" w:rsidR="00A34D29" w:rsidRDefault="00A34D29"/>
    <w:p w14:paraId="469D06EC" w14:textId="77777777" w:rsidR="00A34D29" w:rsidRDefault="00A34D29"/>
    <w:p w14:paraId="7D322271" w14:textId="77777777" w:rsidR="00A34D29" w:rsidRDefault="00A34D29"/>
    <w:p w14:paraId="11E48B70" w14:textId="07C6037C" w:rsidR="00A34D29" w:rsidRDefault="00A34D29">
      <w:r>
        <w:br w:type="page"/>
      </w:r>
    </w:p>
    <w:p w14:paraId="363E00C0" w14:textId="5EF0F8D0" w:rsidR="00185F4E" w:rsidRPr="00185F4E" w:rsidRDefault="00185F4E">
      <w:pPr>
        <w:rPr>
          <w:b/>
          <w:bCs/>
        </w:rPr>
      </w:pPr>
      <w:r w:rsidRPr="00185F4E">
        <w:rPr>
          <w:b/>
          <w:bCs/>
        </w:rPr>
        <w:lastRenderedPageBreak/>
        <w:t xml:space="preserve">Appendix A- Summary </w:t>
      </w:r>
    </w:p>
    <w:p w14:paraId="58657568" w14:textId="32752F9C" w:rsidR="00185F4E" w:rsidRDefault="00185F4E">
      <w:pPr>
        <w:rPr>
          <w:rFonts w:ascii="Times New Roman" w:eastAsia="Times New Roman" w:hAnsi="Times New Roman" w:cs="Times New Roman"/>
          <w:b/>
          <w:bCs/>
          <w:sz w:val="24"/>
          <w:szCs w:val="24"/>
          <w:lang w:val="en-GB" w:eastAsia="en-GB"/>
        </w:rPr>
      </w:pPr>
      <w:r w:rsidRPr="00185F4E">
        <w:rPr>
          <w:rFonts w:ascii="Times New Roman" w:eastAsia="Times New Roman" w:hAnsi="Times New Roman" w:cs="Times New Roman"/>
          <w:b/>
          <w:bCs/>
          <w:sz w:val="24"/>
          <w:szCs w:val="24"/>
          <w:lang w:val="en-GB" w:eastAsia="en-GB"/>
        </w:rPr>
        <w:t>Legal Powers Available</w:t>
      </w:r>
    </w:p>
    <w:tbl>
      <w:tblPr>
        <w:tblW w:w="0" w:type="auto"/>
        <w:tblCellMar>
          <w:top w:w="15" w:type="dxa"/>
          <w:left w:w="15" w:type="dxa"/>
          <w:bottom w:w="15" w:type="dxa"/>
          <w:right w:w="15" w:type="dxa"/>
        </w:tblCellMar>
        <w:tblLook w:val="04A0" w:firstRow="1" w:lastRow="0" w:firstColumn="1" w:lastColumn="0" w:noHBand="0" w:noVBand="1"/>
      </w:tblPr>
      <w:tblGrid>
        <w:gridCol w:w="2696"/>
        <w:gridCol w:w="5928"/>
      </w:tblGrid>
      <w:tr w:rsidR="00185F4E" w:rsidRPr="00185F4E" w14:paraId="3019637C" w14:textId="77777777" w:rsidTr="00554697">
        <w:trPr>
          <w:tblHeader/>
        </w:trPr>
        <w:tc>
          <w:tcPr>
            <w:tcW w:w="0" w:type="auto"/>
            <w:tcBorders>
              <w:top w:val="single" w:sz="6" w:space="0" w:color="auto"/>
              <w:left w:val="single" w:sz="6" w:space="0" w:color="auto"/>
              <w:bottom w:val="single" w:sz="6" w:space="0" w:color="auto"/>
              <w:right w:val="single" w:sz="6" w:space="0" w:color="auto"/>
            </w:tcBorders>
            <w:vAlign w:val="center"/>
            <w:hideMark/>
          </w:tcPr>
          <w:p w14:paraId="3D7FF402"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Situation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0C0D0DB"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Legal Power</w:t>
            </w:r>
          </w:p>
        </w:tc>
      </w:tr>
      <w:tr w:rsidR="00185F4E" w:rsidRPr="00185F4E" w14:paraId="7B2D84DA" w14:textId="77777777" w:rsidTr="00554697">
        <w:tc>
          <w:tcPr>
            <w:tcW w:w="0" w:type="auto"/>
            <w:tcBorders>
              <w:top w:val="single" w:sz="6" w:space="0" w:color="auto"/>
              <w:left w:val="single" w:sz="6" w:space="0" w:color="auto"/>
              <w:bottom w:val="single" w:sz="6" w:space="0" w:color="auto"/>
              <w:right w:val="single" w:sz="6" w:space="0" w:color="auto"/>
            </w:tcBorders>
            <w:vAlign w:val="center"/>
            <w:hideMark/>
          </w:tcPr>
          <w:p w14:paraId="590A64B0"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Adult lacks capacity</w:t>
            </w:r>
          </w:p>
        </w:tc>
        <w:tc>
          <w:tcPr>
            <w:tcW w:w="0" w:type="auto"/>
            <w:tcBorders>
              <w:top w:val="single" w:sz="6" w:space="0" w:color="auto"/>
              <w:left w:val="single" w:sz="6" w:space="0" w:color="auto"/>
              <w:bottom w:val="single" w:sz="6" w:space="0" w:color="auto"/>
              <w:right w:val="single" w:sz="6" w:space="0" w:color="auto"/>
            </w:tcBorders>
            <w:vAlign w:val="center"/>
            <w:hideMark/>
          </w:tcPr>
          <w:p w14:paraId="7EC58934"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b/>
                <w:bCs/>
                <w:sz w:val="24"/>
                <w:szCs w:val="24"/>
                <w:lang w:val="en-GB" w:eastAsia="en-GB"/>
              </w:rPr>
              <w:t>Mental Capacity Act 2005</w:t>
            </w:r>
            <w:r w:rsidRPr="00185F4E">
              <w:rPr>
                <w:rFonts w:ascii="Times New Roman" w:eastAsia="Times New Roman" w:hAnsi="Times New Roman" w:cs="Times New Roman"/>
                <w:sz w:val="24"/>
                <w:szCs w:val="24"/>
                <w:lang w:val="en-GB" w:eastAsia="en-GB"/>
              </w:rPr>
              <w:t xml:space="preserve"> – Court of Protection orders or deputy appointment.</w:t>
            </w:r>
          </w:p>
        </w:tc>
      </w:tr>
      <w:tr w:rsidR="00185F4E" w:rsidRPr="00185F4E" w14:paraId="39FE176A" w14:textId="77777777" w:rsidTr="00554697">
        <w:tc>
          <w:tcPr>
            <w:tcW w:w="0" w:type="auto"/>
            <w:tcBorders>
              <w:top w:val="single" w:sz="6" w:space="0" w:color="auto"/>
              <w:left w:val="single" w:sz="6" w:space="0" w:color="auto"/>
              <w:bottom w:val="single" w:sz="6" w:space="0" w:color="auto"/>
              <w:right w:val="single" w:sz="6" w:space="0" w:color="auto"/>
            </w:tcBorders>
            <w:vAlign w:val="center"/>
            <w:hideMark/>
          </w:tcPr>
          <w:p w14:paraId="1C4E8DDE"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Adult has capacity but under coercion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0CA53C11"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b/>
                <w:bCs/>
                <w:sz w:val="24"/>
                <w:szCs w:val="24"/>
                <w:lang w:val="en-GB" w:eastAsia="en-GB"/>
              </w:rPr>
              <w:t>High Court Inherent Jurisdiction</w:t>
            </w:r>
            <w:r w:rsidRPr="00185F4E">
              <w:rPr>
                <w:rFonts w:ascii="Times New Roman" w:eastAsia="Times New Roman" w:hAnsi="Times New Roman" w:cs="Times New Roman"/>
                <w:sz w:val="24"/>
                <w:szCs w:val="24"/>
                <w:lang w:val="en-GB" w:eastAsia="en-GB"/>
              </w:rPr>
              <w:t xml:space="preserve"> – Orders to ensure free decision-making.</w:t>
            </w:r>
          </w:p>
        </w:tc>
      </w:tr>
      <w:tr w:rsidR="00185F4E" w:rsidRPr="00185F4E" w14:paraId="65B01DB2" w14:textId="77777777" w:rsidTr="00554697">
        <w:tc>
          <w:tcPr>
            <w:tcW w:w="0" w:type="auto"/>
            <w:tcBorders>
              <w:top w:val="single" w:sz="6" w:space="0" w:color="auto"/>
              <w:left w:val="single" w:sz="6" w:space="0" w:color="auto"/>
              <w:bottom w:val="single" w:sz="6" w:space="0" w:color="auto"/>
              <w:right w:val="single" w:sz="6" w:space="0" w:color="auto"/>
            </w:tcBorders>
            <w:vAlign w:val="center"/>
            <w:hideMark/>
          </w:tcPr>
          <w:p w14:paraId="63D52309"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Mental disorder suspected</w:t>
            </w:r>
          </w:p>
        </w:tc>
        <w:tc>
          <w:tcPr>
            <w:tcW w:w="0" w:type="auto"/>
            <w:tcBorders>
              <w:top w:val="single" w:sz="6" w:space="0" w:color="auto"/>
              <w:left w:val="single" w:sz="6" w:space="0" w:color="auto"/>
              <w:bottom w:val="single" w:sz="6" w:space="0" w:color="auto"/>
              <w:right w:val="single" w:sz="6" w:space="0" w:color="auto"/>
            </w:tcBorders>
            <w:vAlign w:val="center"/>
            <w:hideMark/>
          </w:tcPr>
          <w:p w14:paraId="02ADEED5"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b/>
                <w:bCs/>
                <w:sz w:val="24"/>
                <w:szCs w:val="24"/>
                <w:lang w:val="en-GB" w:eastAsia="en-GB"/>
              </w:rPr>
              <w:t>Mental Health Act 1983</w:t>
            </w:r>
            <w:r w:rsidRPr="00185F4E">
              <w:rPr>
                <w:rFonts w:ascii="Times New Roman" w:eastAsia="Times New Roman" w:hAnsi="Times New Roman" w:cs="Times New Roman"/>
                <w:sz w:val="24"/>
                <w:szCs w:val="24"/>
                <w:lang w:val="en-GB" w:eastAsia="en-GB"/>
              </w:rPr>
              <w:t xml:space="preserve"> – Section 115 (entry), Section 135 (warrant &amp; removal to safety).</w:t>
            </w:r>
          </w:p>
        </w:tc>
      </w:tr>
      <w:tr w:rsidR="00185F4E" w:rsidRPr="00185F4E" w14:paraId="60092C19" w14:textId="77777777" w:rsidTr="00554697">
        <w:tc>
          <w:tcPr>
            <w:tcW w:w="0" w:type="auto"/>
            <w:tcBorders>
              <w:top w:val="single" w:sz="6" w:space="0" w:color="auto"/>
              <w:left w:val="single" w:sz="6" w:space="0" w:color="auto"/>
              <w:bottom w:val="single" w:sz="6" w:space="0" w:color="auto"/>
              <w:right w:val="single" w:sz="6" w:space="0" w:color="auto"/>
            </w:tcBorders>
            <w:vAlign w:val="center"/>
            <w:hideMark/>
          </w:tcPr>
          <w:p w14:paraId="307017F9"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Emergency (life or limb)</w:t>
            </w:r>
          </w:p>
        </w:tc>
        <w:tc>
          <w:tcPr>
            <w:tcW w:w="0" w:type="auto"/>
            <w:tcBorders>
              <w:top w:val="single" w:sz="6" w:space="0" w:color="auto"/>
              <w:left w:val="single" w:sz="6" w:space="0" w:color="auto"/>
              <w:bottom w:val="single" w:sz="6" w:space="0" w:color="auto"/>
              <w:right w:val="single" w:sz="6" w:space="0" w:color="auto"/>
            </w:tcBorders>
            <w:vAlign w:val="center"/>
            <w:hideMark/>
          </w:tcPr>
          <w:p w14:paraId="575481EC"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b/>
                <w:bCs/>
                <w:sz w:val="24"/>
                <w:szCs w:val="24"/>
                <w:lang w:val="en-GB" w:eastAsia="en-GB"/>
              </w:rPr>
              <w:t>PACE 1984 Section 17(1)(e)</w:t>
            </w:r>
            <w:r w:rsidRPr="00185F4E">
              <w:rPr>
                <w:rFonts w:ascii="Times New Roman" w:eastAsia="Times New Roman" w:hAnsi="Times New Roman" w:cs="Times New Roman"/>
                <w:sz w:val="24"/>
                <w:szCs w:val="24"/>
                <w:lang w:val="en-GB" w:eastAsia="en-GB"/>
              </w:rPr>
              <w:t xml:space="preserve"> – Police entry without warrant.</w:t>
            </w:r>
          </w:p>
        </w:tc>
      </w:tr>
      <w:tr w:rsidR="00185F4E" w:rsidRPr="00185F4E" w14:paraId="3330DA24" w14:textId="77777777" w:rsidTr="00554697">
        <w:tc>
          <w:tcPr>
            <w:tcW w:w="0" w:type="auto"/>
            <w:tcBorders>
              <w:top w:val="single" w:sz="6" w:space="0" w:color="auto"/>
              <w:left w:val="single" w:sz="6" w:space="0" w:color="auto"/>
              <w:bottom w:val="single" w:sz="6" w:space="0" w:color="auto"/>
              <w:right w:val="single" w:sz="6" w:space="0" w:color="auto"/>
            </w:tcBorders>
            <w:vAlign w:val="center"/>
            <w:hideMark/>
          </w:tcPr>
          <w:p w14:paraId="5AEDB477"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sz w:val="24"/>
                <w:szCs w:val="24"/>
                <w:lang w:val="en-GB" w:eastAsia="en-GB"/>
              </w:rPr>
              <w:t>Indictable offence suspected</w:t>
            </w:r>
          </w:p>
        </w:tc>
        <w:tc>
          <w:tcPr>
            <w:tcW w:w="0" w:type="auto"/>
            <w:tcBorders>
              <w:top w:val="single" w:sz="6" w:space="0" w:color="auto"/>
              <w:left w:val="single" w:sz="6" w:space="0" w:color="auto"/>
              <w:bottom w:val="single" w:sz="6" w:space="0" w:color="auto"/>
              <w:right w:val="single" w:sz="6" w:space="0" w:color="auto"/>
            </w:tcBorders>
            <w:vAlign w:val="center"/>
            <w:hideMark/>
          </w:tcPr>
          <w:p w14:paraId="6C311CF5" w14:textId="77777777" w:rsidR="00185F4E" w:rsidRPr="00185F4E" w:rsidRDefault="00185F4E" w:rsidP="00185F4E">
            <w:pPr>
              <w:spacing w:after="0" w:line="240" w:lineRule="auto"/>
              <w:rPr>
                <w:rFonts w:ascii="Times New Roman" w:eastAsia="Times New Roman" w:hAnsi="Times New Roman" w:cs="Times New Roman"/>
                <w:sz w:val="24"/>
                <w:szCs w:val="24"/>
                <w:lang w:val="en-GB" w:eastAsia="en-GB"/>
              </w:rPr>
            </w:pPr>
            <w:r w:rsidRPr="00185F4E">
              <w:rPr>
                <w:rFonts w:ascii="Times New Roman" w:eastAsia="Times New Roman" w:hAnsi="Times New Roman" w:cs="Times New Roman"/>
                <w:b/>
                <w:bCs/>
                <w:sz w:val="24"/>
                <w:szCs w:val="24"/>
                <w:lang w:val="en-GB" w:eastAsia="en-GB"/>
              </w:rPr>
              <w:t>PACE 1984 Section 17(1)(b)</w:t>
            </w:r>
            <w:r w:rsidRPr="00185F4E">
              <w:rPr>
                <w:rFonts w:ascii="Times New Roman" w:eastAsia="Times New Roman" w:hAnsi="Times New Roman" w:cs="Times New Roman"/>
                <w:sz w:val="24"/>
                <w:szCs w:val="24"/>
                <w:lang w:val="en-GB" w:eastAsia="en-GB"/>
              </w:rPr>
              <w:t xml:space="preserve"> – Police entry for arrest.</w:t>
            </w:r>
          </w:p>
        </w:tc>
      </w:tr>
    </w:tbl>
    <w:p w14:paraId="7F19D374" w14:textId="77777777" w:rsidR="00185F4E" w:rsidRDefault="00185F4E">
      <w:pPr>
        <w:rPr>
          <w:sz w:val="24"/>
          <w:szCs w:val="24"/>
        </w:rPr>
      </w:pPr>
    </w:p>
    <w:p w14:paraId="0C623B37" w14:textId="0CEEEFD5" w:rsidR="00185F4E" w:rsidRPr="00185F4E" w:rsidRDefault="00185F4E">
      <w:pPr>
        <w:rPr>
          <w:b/>
          <w:bCs/>
          <w:sz w:val="24"/>
          <w:szCs w:val="24"/>
        </w:rPr>
      </w:pPr>
      <w:r w:rsidRPr="00185F4E">
        <w:rPr>
          <w:b/>
          <w:bCs/>
          <w:sz w:val="24"/>
          <w:szCs w:val="24"/>
        </w:rPr>
        <w:t>Key Principles for Intervention.</w:t>
      </w:r>
    </w:p>
    <w:p w14:paraId="1883CE2A" w14:textId="77777777" w:rsidR="00185F4E" w:rsidRPr="00185F4E" w:rsidRDefault="00185F4E" w:rsidP="00185F4E">
      <w:pPr>
        <w:rPr>
          <w:sz w:val="24"/>
          <w:szCs w:val="24"/>
        </w:rPr>
      </w:pPr>
      <w:r w:rsidRPr="00185F4E">
        <w:rPr>
          <w:sz w:val="24"/>
          <w:szCs w:val="24"/>
        </w:rPr>
        <w:t>•</w:t>
      </w:r>
      <w:r w:rsidRPr="00185F4E">
        <w:rPr>
          <w:sz w:val="24"/>
          <w:szCs w:val="24"/>
        </w:rPr>
        <w:tab/>
        <w:t>Necessity &amp; Proportionality: Only intervene when justified.</w:t>
      </w:r>
    </w:p>
    <w:p w14:paraId="407C309B" w14:textId="1388D376" w:rsidR="00185F4E" w:rsidRDefault="00185F4E" w:rsidP="00185F4E">
      <w:pPr>
        <w:rPr>
          <w:sz w:val="24"/>
          <w:szCs w:val="24"/>
        </w:rPr>
      </w:pPr>
      <w:r w:rsidRPr="00185F4E">
        <w:rPr>
          <w:sz w:val="24"/>
          <w:szCs w:val="24"/>
        </w:rPr>
        <w:t>•</w:t>
      </w:r>
      <w:r w:rsidRPr="00185F4E">
        <w:rPr>
          <w:sz w:val="24"/>
          <w:szCs w:val="24"/>
        </w:rPr>
        <w:tab/>
        <w:t>Least Restrictive Option: Minimise impact on rights and freedoms.</w:t>
      </w:r>
    </w:p>
    <w:p w14:paraId="77B2FDF0" w14:textId="77777777" w:rsidR="00185F4E" w:rsidRDefault="00185F4E" w:rsidP="00185F4E">
      <w:pPr>
        <w:rPr>
          <w:sz w:val="24"/>
          <w:szCs w:val="24"/>
        </w:rPr>
      </w:pPr>
    </w:p>
    <w:p w14:paraId="0A285CBA" w14:textId="77777777" w:rsidR="00185F4E" w:rsidRPr="00185F4E" w:rsidRDefault="00185F4E" w:rsidP="00185F4E">
      <w:pPr>
        <w:rPr>
          <w:sz w:val="24"/>
          <w:szCs w:val="24"/>
        </w:rPr>
      </w:pPr>
      <w:r w:rsidRPr="00185F4E">
        <w:rPr>
          <w:sz w:val="24"/>
          <w:szCs w:val="24"/>
        </w:rPr>
        <w:t>If immediate risk to life or serious harm:</w:t>
      </w:r>
    </w:p>
    <w:p w14:paraId="1F2E56E5" w14:textId="4979F95A" w:rsidR="00185F4E" w:rsidRDefault="00185F4E" w:rsidP="00185F4E">
      <w:pPr>
        <w:rPr>
          <w:sz w:val="24"/>
          <w:szCs w:val="24"/>
        </w:rPr>
      </w:pPr>
      <w:r w:rsidRPr="00185F4E">
        <w:rPr>
          <w:sz w:val="24"/>
          <w:szCs w:val="24"/>
        </w:rPr>
        <w:t>•</w:t>
      </w:r>
      <w:r w:rsidRPr="00185F4E">
        <w:rPr>
          <w:sz w:val="24"/>
          <w:szCs w:val="24"/>
        </w:rPr>
        <w:tab/>
        <w:t>Contact police for action under PACE Section 17(1)(e).</w:t>
      </w:r>
    </w:p>
    <w:p w14:paraId="20495776" w14:textId="77777777" w:rsidR="00185F4E" w:rsidRDefault="00185F4E" w:rsidP="00185F4E">
      <w:pPr>
        <w:rPr>
          <w:sz w:val="24"/>
          <w:szCs w:val="24"/>
        </w:rPr>
      </w:pPr>
    </w:p>
    <w:p w14:paraId="71BE86FE" w14:textId="77777777" w:rsidR="00185F4E" w:rsidRDefault="00185F4E">
      <w:pPr>
        <w:rPr>
          <w:sz w:val="24"/>
          <w:szCs w:val="24"/>
        </w:rPr>
      </w:pPr>
    </w:p>
    <w:p w14:paraId="54206F49" w14:textId="77777777" w:rsidR="00185F4E" w:rsidRPr="00185F4E" w:rsidRDefault="00185F4E">
      <w:pPr>
        <w:rPr>
          <w:sz w:val="24"/>
          <w:szCs w:val="24"/>
        </w:rPr>
      </w:pPr>
    </w:p>
    <w:p w14:paraId="0073B919" w14:textId="77777777" w:rsidR="00185F4E" w:rsidRDefault="00185F4E"/>
    <w:p w14:paraId="2FC429CB" w14:textId="77777777" w:rsidR="00185F4E" w:rsidRDefault="00185F4E"/>
    <w:p w14:paraId="4BAB447B" w14:textId="77777777" w:rsidR="00185F4E" w:rsidRDefault="00185F4E"/>
    <w:p w14:paraId="3175AB5F" w14:textId="77777777" w:rsidR="00185F4E" w:rsidRDefault="00185F4E"/>
    <w:p w14:paraId="3E2BC52B" w14:textId="77777777" w:rsidR="00185F4E" w:rsidRDefault="00185F4E"/>
    <w:p w14:paraId="68344201" w14:textId="77777777" w:rsidR="00185F4E" w:rsidRDefault="00185F4E"/>
    <w:p w14:paraId="0546B840" w14:textId="77777777" w:rsidR="00185F4E" w:rsidRDefault="00185F4E"/>
    <w:p w14:paraId="24D3E0DA" w14:textId="60F6399B" w:rsidR="00A34D29" w:rsidRPr="00185F4E" w:rsidRDefault="00A34D29">
      <w:pPr>
        <w:rPr>
          <w:b/>
          <w:bCs/>
        </w:rPr>
      </w:pPr>
      <w:r w:rsidRPr="00185F4E">
        <w:rPr>
          <w:b/>
          <w:bCs/>
        </w:rPr>
        <w:lastRenderedPageBreak/>
        <w:t xml:space="preserve">Appendix </w:t>
      </w:r>
      <w:r w:rsidR="00185F4E" w:rsidRPr="00185F4E">
        <w:rPr>
          <w:b/>
          <w:bCs/>
        </w:rPr>
        <w:t>8</w:t>
      </w:r>
      <w:r w:rsidRPr="00185F4E">
        <w:rPr>
          <w:b/>
          <w:bCs/>
        </w:rPr>
        <w:t xml:space="preserve"> – Visual </w:t>
      </w:r>
      <w:r w:rsidR="00A008CA" w:rsidRPr="00185F4E">
        <w:rPr>
          <w:b/>
          <w:bCs/>
        </w:rPr>
        <w:t>Decision-making flowchart</w:t>
      </w:r>
      <w:r w:rsidRPr="00185F4E">
        <w:rPr>
          <w:b/>
          <w:bCs/>
        </w:rPr>
        <w:t xml:space="preserve"> – Gaining access and </w:t>
      </w:r>
      <w:r w:rsidR="00185F4E" w:rsidRPr="00185F4E">
        <w:rPr>
          <w:b/>
          <w:bCs/>
        </w:rPr>
        <w:t>use of</w:t>
      </w:r>
      <w:r w:rsidRPr="00185F4E">
        <w:rPr>
          <w:b/>
          <w:bCs/>
        </w:rPr>
        <w:t xml:space="preserve"> agency powers </w:t>
      </w:r>
    </w:p>
    <w:p w14:paraId="50E979F7" w14:textId="77777777" w:rsidR="002C2F09" w:rsidRDefault="002C2F09" w:rsidP="002C2F09">
      <w:pPr>
        <w:pStyle w:val="NormalWeb"/>
        <w:spacing w:line="300" w:lineRule="atLeast"/>
        <w:rPr>
          <w:rFonts w:ascii="Segoe UI" w:hAnsi="Segoe UI" w:cs="Segoe UI"/>
          <w:sz w:val="21"/>
          <w:szCs w:val="21"/>
        </w:rPr>
      </w:pPr>
      <w:r>
        <w:rPr>
          <w:rFonts w:ascii="Segoe UI" w:hAnsi="Segoe UI" w:cs="Segoe UI"/>
          <w:sz w:val="21"/>
          <w:szCs w:val="21"/>
        </w:rPr>
        <w:t>This visual flowchart supports rapid, proportionate decision</w:t>
      </w:r>
      <w:r>
        <w:rPr>
          <w:rFonts w:ascii="Segoe UI" w:hAnsi="Segoe UI" w:cs="Segoe UI"/>
          <w:sz w:val="21"/>
          <w:szCs w:val="21"/>
        </w:rPr>
        <w:noBreakHyphen/>
        <w:t>making where access to an adult or property is restricted or denied.</w:t>
      </w:r>
    </w:p>
    <w:p w14:paraId="27F8E77A" w14:textId="77777777" w:rsidR="002C2F09" w:rsidRDefault="002C2F09" w:rsidP="002C2F09">
      <w:pPr>
        <w:pStyle w:val="NormalWeb"/>
        <w:spacing w:line="300" w:lineRule="atLeast"/>
        <w:rPr>
          <w:rFonts w:ascii="Segoe UI" w:hAnsi="Segoe UI" w:cs="Segoe UI"/>
          <w:sz w:val="21"/>
          <w:szCs w:val="21"/>
        </w:rPr>
      </w:pPr>
      <w:r>
        <w:rPr>
          <w:rFonts w:ascii="Segoe UI" w:hAnsi="Segoe UI" w:cs="Segoe UI"/>
          <w:sz w:val="21"/>
          <w:szCs w:val="21"/>
        </w:rPr>
        <w:t>It is intended as a quick reference tool and must be used alongside the full guidance in this document, professional judgement, and legal advice where appropriate.</w:t>
      </w:r>
    </w:p>
    <w:p w14:paraId="12D4F8A2" w14:textId="77777777" w:rsidR="002C2F09" w:rsidRDefault="002C2F09" w:rsidP="002C2F09">
      <w:pPr>
        <w:pStyle w:val="NormalWeb"/>
        <w:spacing w:line="300" w:lineRule="atLeast"/>
        <w:rPr>
          <w:rFonts w:ascii="Segoe UI" w:hAnsi="Segoe UI" w:cs="Segoe UI"/>
          <w:sz w:val="21"/>
          <w:szCs w:val="21"/>
        </w:rPr>
      </w:pPr>
      <w:r>
        <w:rPr>
          <w:rFonts w:ascii="Segoe UI" w:hAnsi="Segoe UI" w:cs="Segoe UI"/>
          <w:sz w:val="21"/>
          <w:szCs w:val="21"/>
        </w:rPr>
        <w:t>All actions must be lawful, necessary, proportionate, and represent the least restrictive option, with clear recording of rationale, risk, and outcomes.</w:t>
      </w:r>
    </w:p>
    <w:p w14:paraId="52805D93" w14:textId="3509DEDD" w:rsidR="00A34D29" w:rsidRDefault="002C2F09">
      <w:r>
        <w:rPr>
          <w:rFonts w:ascii="Lato" w:eastAsia="Times New Roman" w:hAnsi="Lato" w:cs="Times New Roman"/>
          <w:b/>
          <w:bCs/>
          <w:noProof/>
          <w:color w:val="000000"/>
          <w:sz w:val="36"/>
          <w:szCs w:val="36"/>
          <w:lang w:eastAsia="en-GB"/>
        </w:rPr>
        <w:lastRenderedPageBreak/>
        <w:drawing>
          <wp:inline distT="0" distB="0" distL="0" distR="0" wp14:anchorId="5D44CED8" wp14:editId="124946EE">
            <wp:extent cx="5486400" cy="8229600"/>
            <wp:effectExtent l="0" t="0" r="0" b="0"/>
            <wp:docPr id="464164490" name="Picture 1" descr="A diagram of a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64490" name="Picture 1" descr="A diagram of a health care system&#10;&#10;AI-generated content may be incorrect."/>
                    <pic:cNvPicPr/>
                  </pic:nvPicPr>
                  <pic:blipFill>
                    <a:blip r:embed="rId6"/>
                    <a:stretch>
                      <a:fillRect/>
                    </a:stretch>
                  </pic:blipFill>
                  <pic:spPr>
                    <a:xfrm>
                      <a:off x="0" y="0"/>
                      <a:ext cx="5486400" cy="8229600"/>
                    </a:xfrm>
                    <a:prstGeom prst="rect">
                      <a:avLst/>
                    </a:prstGeom>
                  </pic:spPr>
                </pic:pic>
              </a:graphicData>
            </a:graphic>
          </wp:inline>
        </w:drawing>
      </w:r>
      <w:r w:rsidR="00A34D29">
        <w:t xml:space="preserve"> </w:t>
      </w:r>
    </w:p>
    <w:sectPr w:rsidR="00A34D2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8034551">
    <w:abstractNumId w:val="8"/>
  </w:num>
  <w:num w:numId="2" w16cid:durableId="1670214374">
    <w:abstractNumId w:val="6"/>
  </w:num>
  <w:num w:numId="3" w16cid:durableId="519665685">
    <w:abstractNumId w:val="5"/>
  </w:num>
  <w:num w:numId="4" w16cid:durableId="899822933">
    <w:abstractNumId w:val="4"/>
  </w:num>
  <w:num w:numId="5" w16cid:durableId="557515948">
    <w:abstractNumId w:val="7"/>
  </w:num>
  <w:num w:numId="6" w16cid:durableId="1348291908">
    <w:abstractNumId w:val="3"/>
  </w:num>
  <w:num w:numId="7" w16cid:durableId="2001470173">
    <w:abstractNumId w:val="2"/>
  </w:num>
  <w:num w:numId="8" w16cid:durableId="399258540">
    <w:abstractNumId w:val="1"/>
  </w:num>
  <w:num w:numId="9" w16cid:durableId="63302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CE6"/>
    <w:rsid w:val="0015074B"/>
    <w:rsid w:val="00185F4E"/>
    <w:rsid w:val="001A3978"/>
    <w:rsid w:val="001D72EF"/>
    <w:rsid w:val="001F0D72"/>
    <w:rsid w:val="0029639D"/>
    <w:rsid w:val="002C2F09"/>
    <w:rsid w:val="00326F90"/>
    <w:rsid w:val="007B7292"/>
    <w:rsid w:val="009C5487"/>
    <w:rsid w:val="00A008CA"/>
    <w:rsid w:val="00A34D29"/>
    <w:rsid w:val="00AA1D8D"/>
    <w:rsid w:val="00B47730"/>
    <w:rsid w:val="00CB0664"/>
    <w:rsid w:val="00F15E5F"/>
    <w:rsid w:val="00F323FE"/>
    <w:rsid w:val="00FC693F"/>
    <w:rsid w:val="00FD1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C1E4E"/>
  <w14:defaultImageDpi w14:val="300"/>
  <w15:docId w15:val="{36652FCC-D044-459B-AC38-D10693A6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C2F0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Annie Whittingham</cp:lastModifiedBy>
  <cp:revision>2</cp:revision>
  <dcterms:created xsi:type="dcterms:W3CDTF">2026-08-17T16:09:00Z</dcterms:created>
  <dcterms:modified xsi:type="dcterms:W3CDTF">2026-08-17T16:09:00Z</dcterms:modified>
  <cp:category/>
</cp:coreProperties>
</file>